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C4" w:rsidRPr="00ED3011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 CYR" w:eastAsia="Times New Roman" w:hAnsi="Times New Roman CYR" w:cs="Times New Roman CYR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>
            <wp:extent cx="8191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C4" w:rsidRPr="00ED3011" w:rsidRDefault="00230DC4" w:rsidP="00230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</w:rPr>
      </w:pPr>
      <w:r w:rsidRPr="00ED3011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«ВЫЛЫН УНИ» МУНИЦИПАЛ КЫЛДЭТЫСЬ  ДЕПУТАТЪЁСЛЭН КЕНЕШСЫ</w:t>
      </w:r>
    </w:p>
    <w:p w:rsidR="00230DC4" w:rsidRPr="00ED3011" w:rsidRDefault="00230DC4" w:rsidP="00230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</w:rPr>
      </w:pPr>
      <w:r w:rsidRPr="00ED3011">
        <w:rPr>
          <w:rFonts w:ascii="Times New Roman CYR" w:eastAsia="Times New Roman" w:hAnsi="Times New Roman CYR" w:cs="Times New Roman CYR"/>
          <w:b/>
          <w:bCs/>
          <w:sz w:val="20"/>
          <w:szCs w:val="20"/>
        </w:rPr>
        <w:t>СОВЕТ ДЕПУТАТОВ  МУНИЦИПАЛЬНОГО  ОБРАЗОВАНИЯ «ВЕРХ-УНИНСКОЕ»</w:t>
      </w:r>
    </w:p>
    <w:p w:rsidR="00230DC4" w:rsidRPr="00ED3011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230DC4" w:rsidRPr="00ED3011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ED3011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РЕШЕНИЕ</w:t>
      </w:r>
    </w:p>
    <w:p w:rsidR="00230DC4" w:rsidRPr="00ED3011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ED3011">
        <w:rPr>
          <w:rFonts w:ascii="Times New Roman CYR" w:eastAsia="Times New Roman" w:hAnsi="Times New Roman CYR" w:cs="Times New Roman CYR"/>
          <w:sz w:val="24"/>
          <w:szCs w:val="24"/>
        </w:rPr>
        <w:t>26 ноября 2014 г.                                                                                                           № 53</w:t>
      </w:r>
    </w:p>
    <w:p w:rsidR="00230DC4" w:rsidRPr="00ED3011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ind w:firstLine="4395"/>
        <w:rPr>
          <w:rFonts w:ascii="Times New Roman CYR" w:eastAsia="Times New Roman" w:hAnsi="Times New Roman CYR" w:cs="Times New Roman CYR"/>
          <w:sz w:val="28"/>
          <w:szCs w:val="28"/>
          <w:vertAlign w:val="superscript"/>
        </w:rPr>
      </w:pPr>
    </w:p>
    <w:p w:rsidR="00230DC4" w:rsidRPr="00ED3011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ED3011">
        <w:rPr>
          <w:rFonts w:ascii="Times New Roman CYR" w:eastAsia="Times New Roman" w:hAnsi="Times New Roman CYR" w:cs="Times New Roman CYR"/>
          <w:sz w:val="24"/>
          <w:szCs w:val="24"/>
        </w:rPr>
        <w:t>село Верх-Уни</w:t>
      </w:r>
    </w:p>
    <w:p w:rsidR="00230DC4" w:rsidRPr="00ED3011" w:rsidRDefault="00230DC4" w:rsidP="0023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DC4" w:rsidRPr="00ED3011" w:rsidRDefault="00230DC4" w:rsidP="0023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схемы теплоснабжения.</w:t>
      </w: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301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«О теплоснабжении» от 27 июля 2010 года № 190-ФЗ, Постановлением Правительства Российской Федерации от 22.02.2012 № 154 «О требованиях к схемам теплоснабжения, порядку их разработки и утверждения»,  Постановлением Администрации Юкаменского района от 07 марта 2013 г.  № 125 «О разработке Схем теплоснабжения сельских поселений муниципального образования «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Юкаменский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район» на период 2013-2027 годы», с Генеральным планом муниципального образования «Верх-Унинское</w:t>
      </w:r>
      <w:proofErr w:type="gramEnd"/>
      <w:r w:rsidRPr="00ED3011">
        <w:rPr>
          <w:rFonts w:ascii="Times New Roman" w:eastAsia="Times New Roman" w:hAnsi="Times New Roman" w:cs="Times New Roman"/>
          <w:sz w:val="24"/>
          <w:szCs w:val="24"/>
        </w:rPr>
        <w:t>», руководствуясь Уставом МО «Верх-Унинское», Совет депутатов муниципального образования «Верх-Унинское»</w:t>
      </w:r>
    </w:p>
    <w:p w:rsidR="00230DC4" w:rsidRPr="00ED3011" w:rsidRDefault="00230DC4" w:rsidP="00230DC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1. Утвердить Схему теплоснабжения на территории муниципального образования «Верх-Унинское» (прилагается).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11">
        <w:rPr>
          <w:rFonts w:cs="Times New Roman"/>
          <w:sz w:val="24"/>
          <w:szCs w:val="24"/>
          <w:lang w:eastAsia="en-US"/>
        </w:rPr>
        <w:t xml:space="preserve">2.  </w:t>
      </w:r>
      <w:r w:rsidRPr="00ED3011">
        <w:rPr>
          <w:rFonts w:ascii="Times New Roman" w:hAnsi="Times New Roman" w:cs="Times New Roman"/>
          <w:sz w:val="24"/>
          <w:szCs w:val="24"/>
        </w:rPr>
        <w:t>Обнародовать настоящее Решение в установленном порядке и разместить на официальном сайте в сети «Интернет».</w:t>
      </w:r>
    </w:p>
    <w:p w:rsidR="00230DC4" w:rsidRPr="00ED3011" w:rsidRDefault="00230DC4" w:rsidP="00230D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gramStart"/>
      <w:r w:rsidRPr="00ED301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0DC4" w:rsidRPr="00ED3011" w:rsidRDefault="00230DC4" w:rsidP="00230DC4">
      <w:pPr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«Верх-Унинское»                                      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Н.В.Веретенникова</w:t>
      </w:r>
      <w:proofErr w:type="spellEnd"/>
    </w:p>
    <w:p w:rsidR="00230DC4" w:rsidRPr="00ED3011" w:rsidRDefault="00230DC4" w:rsidP="00230D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right"/>
        <w:outlineLvl w:val="6"/>
        <w:rPr>
          <w:rFonts w:ascii="Times New Roman" w:hAnsi="Times New Roman" w:cs="Times New Roman"/>
          <w:iCs/>
          <w:caps/>
          <w:spacing w:val="10"/>
          <w:sz w:val="28"/>
          <w:szCs w:val="28"/>
          <w:lang w:eastAsia="en-US"/>
        </w:rPr>
      </w:pPr>
    </w:p>
    <w:p w:rsidR="00230DC4" w:rsidRDefault="00230DC4" w:rsidP="00230DC4">
      <w:pPr>
        <w:spacing w:after="0" w:line="240" w:lineRule="auto"/>
        <w:jc w:val="right"/>
        <w:outlineLvl w:val="6"/>
        <w:rPr>
          <w:rFonts w:ascii="Times New Roman" w:hAnsi="Times New Roman" w:cs="Times New Roman"/>
          <w:iCs/>
          <w:caps/>
          <w:spacing w:val="10"/>
          <w:sz w:val="24"/>
          <w:szCs w:val="24"/>
          <w:lang w:eastAsia="en-US"/>
        </w:rPr>
      </w:pPr>
    </w:p>
    <w:p w:rsidR="000C4EFC" w:rsidRDefault="000C4EFC" w:rsidP="00230DC4">
      <w:pPr>
        <w:spacing w:after="0" w:line="240" w:lineRule="auto"/>
        <w:jc w:val="right"/>
        <w:outlineLvl w:val="6"/>
        <w:rPr>
          <w:rFonts w:ascii="Times New Roman" w:hAnsi="Times New Roman" w:cs="Times New Roman"/>
          <w:iCs/>
          <w:caps/>
          <w:spacing w:val="10"/>
          <w:sz w:val="24"/>
          <w:szCs w:val="24"/>
          <w:lang w:eastAsia="en-US"/>
        </w:rPr>
      </w:pPr>
    </w:p>
    <w:p w:rsidR="000C4EFC" w:rsidRDefault="000C4EFC" w:rsidP="00230DC4">
      <w:pPr>
        <w:spacing w:after="0" w:line="240" w:lineRule="auto"/>
        <w:jc w:val="right"/>
        <w:outlineLvl w:val="6"/>
        <w:rPr>
          <w:rFonts w:ascii="Times New Roman" w:hAnsi="Times New Roman" w:cs="Times New Roman"/>
          <w:iCs/>
          <w:caps/>
          <w:spacing w:val="10"/>
          <w:sz w:val="24"/>
          <w:szCs w:val="24"/>
          <w:lang w:eastAsia="en-US"/>
        </w:rPr>
      </w:pPr>
    </w:p>
    <w:p w:rsidR="000C4EFC" w:rsidRDefault="000C4EFC" w:rsidP="00230DC4">
      <w:pPr>
        <w:spacing w:after="0" w:line="240" w:lineRule="auto"/>
        <w:jc w:val="right"/>
        <w:outlineLvl w:val="6"/>
        <w:rPr>
          <w:rFonts w:ascii="Times New Roman" w:hAnsi="Times New Roman" w:cs="Times New Roman"/>
          <w:iCs/>
          <w:caps/>
          <w:spacing w:val="10"/>
          <w:sz w:val="24"/>
          <w:szCs w:val="24"/>
          <w:lang w:eastAsia="en-US"/>
        </w:rPr>
      </w:pPr>
    </w:p>
    <w:p w:rsidR="000C4EFC" w:rsidRDefault="000C4EFC" w:rsidP="00230DC4">
      <w:pPr>
        <w:spacing w:after="0" w:line="240" w:lineRule="auto"/>
        <w:jc w:val="right"/>
        <w:outlineLvl w:val="6"/>
        <w:rPr>
          <w:rFonts w:ascii="Times New Roman" w:hAnsi="Times New Roman" w:cs="Times New Roman"/>
          <w:iCs/>
          <w:caps/>
          <w:spacing w:val="10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jc w:val="right"/>
        <w:outlineLvl w:val="6"/>
        <w:rPr>
          <w:rFonts w:ascii="Times New Roman" w:hAnsi="Times New Roman" w:cs="Times New Roman"/>
          <w:iCs/>
          <w:caps/>
          <w:spacing w:val="10"/>
          <w:sz w:val="24"/>
          <w:szCs w:val="24"/>
          <w:lang w:eastAsia="en-US"/>
        </w:rPr>
      </w:pPr>
      <w:bookmarkStart w:id="0" w:name="_GoBack"/>
      <w:bookmarkEnd w:id="0"/>
      <w:r w:rsidRPr="00ED3011">
        <w:rPr>
          <w:rFonts w:ascii="Times New Roman" w:hAnsi="Times New Roman" w:cs="Times New Roman"/>
          <w:iCs/>
          <w:caps/>
          <w:spacing w:val="10"/>
          <w:sz w:val="24"/>
          <w:szCs w:val="24"/>
          <w:lang w:eastAsia="en-US"/>
        </w:rPr>
        <w:lastRenderedPageBreak/>
        <w:t>УТВЕРЖДЕНА</w:t>
      </w:r>
    </w:p>
    <w:p w:rsidR="00230DC4" w:rsidRPr="00ED3011" w:rsidRDefault="00230DC4" w:rsidP="00230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Решением Совета депутатов</w:t>
      </w:r>
    </w:p>
    <w:p w:rsidR="00230DC4" w:rsidRPr="00ED3011" w:rsidRDefault="00230DC4" w:rsidP="00230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МО «Верх-Унинское»</w:t>
      </w:r>
    </w:p>
    <w:p w:rsidR="00230DC4" w:rsidRPr="00ED3011" w:rsidRDefault="00230DC4" w:rsidP="00230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от 26 ноября 2014 г. № 53</w:t>
      </w: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120" w:line="240" w:lineRule="auto"/>
        <w:jc w:val="center"/>
        <w:outlineLvl w:val="6"/>
        <w:rPr>
          <w:rFonts w:ascii="Century" w:hAnsi="Century" w:cs="Times New Roman"/>
          <w:b/>
          <w:iCs/>
          <w:caps/>
          <w:spacing w:val="10"/>
          <w:sz w:val="50"/>
          <w:szCs w:val="50"/>
          <w:lang w:eastAsia="en-US"/>
        </w:rPr>
      </w:pPr>
    </w:p>
    <w:p w:rsidR="00230DC4" w:rsidRPr="00ED3011" w:rsidRDefault="00230DC4" w:rsidP="00230DC4">
      <w:pPr>
        <w:spacing w:after="120" w:line="240" w:lineRule="auto"/>
        <w:jc w:val="center"/>
        <w:outlineLvl w:val="6"/>
        <w:rPr>
          <w:rFonts w:ascii="Century" w:hAnsi="Century" w:cs="Times New Roman"/>
          <w:b/>
          <w:iCs/>
          <w:caps/>
          <w:spacing w:val="10"/>
          <w:sz w:val="50"/>
          <w:szCs w:val="50"/>
          <w:lang w:eastAsia="en-US"/>
        </w:rPr>
      </w:pPr>
    </w:p>
    <w:p w:rsidR="00230DC4" w:rsidRPr="00ED3011" w:rsidRDefault="00230DC4" w:rsidP="00230DC4">
      <w:pPr>
        <w:spacing w:after="120" w:line="240" w:lineRule="auto"/>
        <w:jc w:val="center"/>
        <w:outlineLvl w:val="6"/>
        <w:rPr>
          <w:rFonts w:ascii="Century" w:hAnsi="Century" w:cs="Times New Roman"/>
          <w:b/>
          <w:iCs/>
          <w:caps/>
          <w:spacing w:val="10"/>
          <w:sz w:val="50"/>
          <w:szCs w:val="50"/>
          <w:lang w:eastAsia="en-US"/>
        </w:rPr>
      </w:pPr>
    </w:p>
    <w:p w:rsidR="00230DC4" w:rsidRPr="00ED3011" w:rsidRDefault="00230DC4" w:rsidP="00230DC4">
      <w:pPr>
        <w:spacing w:after="120" w:line="240" w:lineRule="auto"/>
        <w:jc w:val="center"/>
        <w:outlineLvl w:val="6"/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</w:pPr>
      <w:r w:rsidRPr="00ED3011"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  <w:t>Схема теплоснабжения</w:t>
      </w:r>
    </w:p>
    <w:p w:rsidR="00230DC4" w:rsidRPr="00ED3011" w:rsidRDefault="00230DC4" w:rsidP="00230DC4">
      <w:pPr>
        <w:spacing w:after="120" w:line="240" w:lineRule="auto"/>
        <w:jc w:val="center"/>
        <w:outlineLvl w:val="6"/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</w:pPr>
      <w:r w:rsidRPr="00ED3011"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  <w:t>Муниципального образования</w:t>
      </w:r>
    </w:p>
    <w:p w:rsidR="00230DC4" w:rsidRDefault="00230DC4" w:rsidP="00230DC4">
      <w:pPr>
        <w:spacing w:after="120" w:line="240" w:lineRule="auto"/>
        <w:jc w:val="center"/>
        <w:outlineLvl w:val="6"/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</w:pPr>
      <w:r w:rsidRPr="00ED3011"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  <w:t xml:space="preserve"> «ВЕРХ-УНИНСКОЕ»</w:t>
      </w:r>
    </w:p>
    <w:p w:rsidR="00230DC4" w:rsidRPr="00ED3011" w:rsidRDefault="00230DC4" w:rsidP="00230DC4">
      <w:pPr>
        <w:spacing w:after="120" w:line="240" w:lineRule="auto"/>
        <w:jc w:val="center"/>
        <w:outlineLvl w:val="6"/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</w:pPr>
      <w:r w:rsidRPr="00ED3011"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  <w:t xml:space="preserve"> ЮКАМЕНСКОГО РАЙОНА </w:t>
      </w:r>
    </w:p>
    <w:p w:rsidR="00230DC4" w:rsidRPr="00ED3011" w:rsidRDefault="00230DC4" w:rsidP="00230DC4">
      <w:pPr>
        <w:spacing w:after="120" w:line="240" w:lineRule="auto"/>
        <w:jc w:val="center"/>
        <w:outlineLvl w:val="6"/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</w:pPr>
      <w:r w:rsidRPr="00ED3011">
        <w:rPr>
          <w:rFonts w:ascii="Century" w:hAnsi="Century" w:cs="Times New Roman"/>
          <w:b/>
          <w:iCs/>
          <w:caps/>
          <w:spacing w:val="10"/>
          <w:sz w:val="48"/>
          <w:szCs w:val="48"/>
          <w:lang w:eastAsia="en-US"/>
        </w:rPr>
        <w:t>уДМУРТСКОЙ РЕСПУБЛИКИ</w:t>
      </w:r>
    </w:p>
    <w:p w:rsidR="00230DC4" w:rsidRPr="00ED3011" w:rsidRDefault="00230DC4" w:rsidP="00230DC4">
      <w:pPr>
        <w:spacing w:after="120"/>
        <w:jc w:val="center"/>
        <w:outlineLvl w:val="6"/>
        <w:rPr>
          <w:rFonts w:ascii="Cambria" w:hAnsi="Cambria" w:cs="Times New Roman"/>
          <w:b/>
          <w:i/>
          <w:iCs/>
          <w:caps/>
          <w:color w:val="943634"/>
          <w:spacing w:val="10"/>
          <w:sz w:val="50"/>
          <w:szCs w:val="50"/>
          <w:u w:val="single"/>
          <w:lang w:eastAsia="en-US"/>
        </w:rPr>
      </w:pPr>
      <w:r w:rsidRPr="00ED3011">
        <w:rPr>
          <w:rFonts w:ascii="Cambria" w:hAnsi="Cambria" w:cs="Times New Roman"/>
          <w:b/>
          <w:i/>
          <w:iCs/>
          <w:caps/>
          <w:color w:val="943634"/>
          <w:spacing w:val="10"/>
          <w:sz w:val="50"/>
          <w:szCs w:val="50"/>
          <w:u w:val="single"/>
          <w:lang w:eastAsia="en-US"/>
        </w:rPr>
        <w:t xml:space="preserve"> </w:t>
      </w:r>
    </w:p>
    <w:p w:rsidR="00230DC4" w:rsidRPr="00ED3011" w:rsidRDefault="00230DC4" w:rsidP="00230DC4">
      <w:pPr>
        <w:spacing w:before="400"/>
        <w:jc w:val="center"/>
        <w:outlineLvl w:val="0"/>
        <w:rPr>
          <w:rFonts w:ascii="Cambria" w:hAnsi="Cambria" w:cs="Times New Roman"/>
          <w:caps/>
          <w:color w:val="632423"/>
          <w:spacing w:val="20"/>
          <w:sz w:val="28"/>
          <w:szCs w:val="28"/>
          <w:lang w:eastAsia="en-US"/>
        </w:rPr>
      </w:pPr>
    </w:p>
    <w:p w:rsidR="00230DC4" w:rsidRPr="00ED3011" w:rsidRDefault="00230DC4" w:rsidP="00230DC4">
      <w:pPr>
        <w:spacing w:before="400"/>
        <w:jc w:val="center"/>
        <w:outlineLvl w:val="0"/>
        <w:rPr>
          <w:rFonts w:ascii="Cambria" w:hAnsi="Cambria" w:cs="Times New Roman"/>
          <w:caps/>
          <w:color w:val="632423"/>
          <w:spacing w:val="20"/>
          <w:sz w:val="28"/>
          <w:szCs w:val="28"/>
          <w:lang w:eastAsia="en-US"/>
        </w:rPr>
      </w:pPr>
    </w:p>
    <w:p w:rsidR="00230DC4" w:rsidRPr="00ED3011" w:rsidRDefault="00230DC4" w:rsidP="00230DC4">
      <w:pPr>
        <w:spacing w:before="400"/>
        <w:jc w:val="center"/>
        <w:outlineLvl w:val="0"/>
        <w:rPr>
          <w:rFonts w:ascii="Cambria" w:hAnsi="Cambria" w:cs="Times New Roman"/>
          <w:caps/>
          <w:color w:val="632423"/>
          <w:spacing w:val="20"/>
          <w:sz w:val="28"/>
          <w:szCs w:val="28"/>
          <w:lang w:eastAsia="en-US"/>
        </w:rPr>
      </w:pPr>
    </w:p>
    <w:p w:rsidR="00230DC4" w:rsidRPr="00ED3011" w:rsidRDefault="00230DC4" w:rsidP="00230DC4">
      <w:pPr>
        <w:spacing w:before="400"/>
        <w:jc w:val="center"/>
        <w:outlineLvl w:val="0"/>
        <w:rPr>
          <w:rFonts w:ascii="Cambria" w:hAnsi="Cambria" w:cs="Times New Roman"/>
          <w:caps/>
          <w:color w:val="632423"/>
          <w:spacing w:val="20"/>
          <w:sz w:val="28"/>
          <w:szCs w:val="28"/>
          <w:lang w:eastAsia="en-US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3011">
        <w:rPr>
          <w:rFonts w:ascii="Times New Roman" w:eastAsia="Times New Roman" w:hAnsi="Times New Roman" w:cs="Times New Roman"/>
          <w:sz w:val="28"/>
          <w:szCs w:val="28"/>
          <w:lang w:eastAsia="en-US"/>
        </w:rPr>
        <w:t>с. Верх-Уни</w:t>
      </w: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3011">
        <w:rPr>
          <w:rFonts w:ascii="Times New Roman" w:eastAsia="Times New Roman" w:hAnsi="Times New Roman" w:cs="Times New Roman"/>
          <w:sz w:val="28"/>
          <w:szCs w:val="28"/>
          <w:lang w:eastAsia="en-US"/>
        </w:rPr>
        <w:t>2014 год</w:t>
      </w:r>
    </w:p>
    <w:p w:rsidR="00230DC4" w:rsidRPr="00ED3011" w:rsidRDefault="00230DC4" w:rsidP="00230DC4">
      <w:pPr>
        <w:spacing w:before="400"/>
        <w:jc w:val="center"/>
        <w:outlineLvl w:val="0"/>
        <w:rPr>
          <w:rFonts w:ascii="Times New Roman" w:hAnsi="Times New Roman" w:cs="Times New Roman"/>
          <w:b/>
          <w:caps/>
          <w:spacing w:val="20"/>
          <w:sz w:val="28"/>
          <w:szCs w:val="28"/>
          <w:lang w:eastAsia="en-US"/>
        </w:rPr>
      </w:pPr>
      <w:bookmarkStart w:id="1" w:name="_Toc310522198"/>
      <w:bookmarkStart w:id="2" w:name="_Toc309907556"/>
      <w:bookmarkStart w:id="3" w:name="_Toc309907517"/>
      <w:bookmarkStart w:id="4" w:name="_Toc309907500"/>
      <w:bookmarkStart w:id="5" w:name="_Toc309907203"/>
      <w:bookmarkStart w:id="6" w:name="_Toc308109856"/>
    </w:p>
    <w:p w:rsidR="00230DC4" w:rsidRPr="00ED3011" w:rsidRDefault="00230DC4" w:rsidP="00230DC4">
      <w:pPr>
        <w:spacing w:before="400"/>
        <w:jc w:val="center"/>
        <w:outlineLvl w:val="0"/>
        <w:rPr>
          <w:rFonts w:ascii="Times New Roman" w:hAnsi="Times New Roman" w:cs="Times New Roman"/>
          <w:b/>
          <w:caps/>
          <w:spacing w:val="20"/>
          <w:sz w:val="28"/>
          <w:szCs w:val="28"/>
          <w:lang w:eastAsia="en-US"/>
        </w:rPr>
      </w:pPr>
      <w:r w:rsidRPr="00ED3011">
        <w:rPr>
          <w:rFonts w:ascii="Times New Roman" w:hAnsi="Times New Roman" w:cs="Times New Roman"/>
          <w:b/>
          <w:caps/>
          <w:spacing w:val="20"/>
          <w:sz w:val="28"/>
          <w:szCs w:val="28"/>
          <w:lang w:eastAsia="en-US"/>
        </w:rPr>
        <w:lastRenderedPageBreak/>
        <w:t xml:space="preserve">Схема теплоснабжения </w:t>
      </w:r>
      <w:bookmarkEnd w:id="1"/>
      <w:bookmarkEnd w:id="2"/>
      <w:bookmarkEnd w:id="3"/>
      <w:bookmarkEnd w:id="4"/>
      <w:bookmarkEnd w:id="5"/>
      <w:r w:rsidRPr="00ED3011">
        <w:rPr>
          <w:rFonts w:ascii="Times New Roman" w:hAnsi="Times New Roman" w:cs="Times New Roman"/>
          <w:b/>
          <w:caps/>
          <w:spacing w:val="20"/>
          <w:sz w:val="28"/>
          <w:szCs w:val="28"/>
          <w:lang w:eastAsia="en-US"/>
        </w:rPr>
        <w:t>МО «Верх-Унинское»</w:t>
      </w:r>
    </w:p>
    <w:p w:rsidR="00230DC4" w:rsidRPr="00ED3011" w:rsidRDefault="00230DC4" w:rsidP="00230DC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Введение</w:t>
      </w:r>
    </w:p>
    <w:p w:rsidR="00230DC4" w:rsidRPr="00ED3011" w:rsidRDefault="00230DC4" w:rsidP="00230DC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Основанием для разработки Схемы теплоснабжения муниципального образования «Верх-Унинское» Юкаменского района Удмуртской Республики являются: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Федеральный закон "О теплоснабжении" от 27 июля 2010 № 190-ФЗ;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ED301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Фе</w:t>
      </w:r>
      <w:r w:rsidRPr="00ED3011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д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ерал</w:t>
      </w:r>
      <w:r w:rsidRPr="00ED301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ь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ный</w:t>
      </w:r>
      <w:r w:rsidRPr="00ED3011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</w:t>
      </w:r>
      <w:r w:rsidRPr="00ED301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о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ED301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>о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ED301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23.11</w:t>
      </w:r>
      <w:r w:rsidRPr="00ED301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2009</w:t>
      </w:r>
      <w:r w:rsidRPr="00ED301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Pr="00ED3011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д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ED3011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ED301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261</w:t>
      </w:r>
      <w:r w:rsidRPr="00ED301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-</w:t>
      </w:r>
      <w:r w:rsidRPr="00ED301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Ф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Pr="00ED3011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 энергос</w:t>
      </w:r>
      <w:r w:rsidRPr="00ED301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б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ережен</w:t>
      </w:r>
      <w:r w:rsidRPr="00ED3011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>и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и и</w:t>
      </w:r>
      <w:r w:rsidRPr="00ED3011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ED3011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ED301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>о</w:t>
      </w:r>
      <w:r w:rsidRPr="00ED301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ышен</w:t>
      </w:r>
      <w:r w:rsidRPr="00ED3011">
        <w:rPr>
          <w:rFonts w:ascii="Times New Roman" w:eastAsia="Times New Roman" w:hAnsi="Times New Roman" w:cs="Times New Roman"/>
          <w:spacing w:val="8"/>
          <w:sz w:val="24"/>
          <w:szCs w:val="24"/>
          <w:lang w:eastAsia="en-US"/>
        </w:rPr>
        <w:t>и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D301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энерг</w:t>
      </w:r>
      <w:r w:rsidRPr="00ED3011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>е</w:t>
      </w:r>
      <w:r w:rsidRPr="00ED301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т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ическ</w:t>
      </w:r>
      <w:r w:rsidRPr="00ED301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>о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й э</w:t>
      </w:r>
      <w:r w:rsidRPr="00ED3011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ф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фек</w:t>
      </w:r>
      <w:r w:rsidRPr="00ED301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ED301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>и</w:t>
      </w:r>
      <w:r w:rsidRPr="00ED301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нос</w:t>
      </w:r>
      <w:r w:rsidRPr="00ED3011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т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и и</w:t>
      </w:r>
      <w:r w:rsidRPr="00ED301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ED3011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в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несении</w:t>
      </w:r>
      <w:r w:rsidRPr="00ED301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изменений</w:t>
      </w:r>
      <w:r w:rsidRPr="00ED3011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в о</w:t>
      </w:r>
      <w:r w:rsidRPr="00ED301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т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</w:t>
      </w:r>
      <w:r w:rsidRPr="00ED301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ь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ные</w:t>
      </w:r>
      <w:r w:rsidRPr="00ED3011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</w:t>
      </w:r>
      <w:r w:rsidRPr="00ED301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>н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одател</w:t>
      </w:r>
      <w:r w:rsidRPr="00ED301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ь</w:t>
      </w:r>
      <w:r w:rsidRPr="00ED301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>н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ые</w:t>
      </w:r>
      <w:r w:rsidRPr="00ED3011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ак</w:t>
      </w:r>
      <w:r w:rsidRPr="00ED301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Pr="00ED301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</w:t>
      </w:r>
      <w:r w:rsidRPr="00ED301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и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йской</w:t>
      </w:r>
      <w:r w:rsidRPr="00ED3011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Фе</w:t>
      </w:r>
      <w:r w:rsidRPr="00ED3011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д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ераци</w:t>
      </w:r>
      <w:r w:rsidRPr="00ED3011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>и</w:t>
      </w:r>
      <w:r w:rsidRPr="00ED301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»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Правила организации теплоснабжения в Российской Федерации, утверждённые постановлением Правительства РФ от 08 августа 2012 № 808;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Требования к схемам теплоснабжения, утверждённые постановлением Правительства РФ от 22 февраля 2012 №154;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Требования к порядку разработки и утверждения схем теплоснабжения, утверждённые постановлением Правительства РФ от 22 февраля 2012 года №154;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Правила вывода в ремонт и из эксплуатации источников тепловой энергии и тепловых сетей, утверждённые постановлением Правительства РФ от 6 сентября 2012 № 889;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ED3011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Программа комплексного развития систем коммунальной</w:t>
      </w:r>
      <w:r w:rsidRPr="00ED301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ED3011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инфраструктуры муниципального образования «</w:t>
      </w:r>
      <w:proofErr w:type="spellStart"/>
      <w:r w:rsidRPr="00ED3011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Юкаменский</w:t>
      </w:r>
      <w:proofErr w:type="spellEnd"/>
      <w:r w:rsidRPr="00ED3011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район» на 2011- 2014 годы, утверждённая</w:t>
      </w:r>
      <w:r w:rsidRPr="00ED30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ED3011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остановлением Администрации Юкаменского района от 31 марта 2011 г. № 120</w:t>
      </w:r>
      <w:r w:rsidRPr="00ED30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;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Постановление Администрации Юкаменского района от 07 марта 2013 № 125 «О разработке Схем теплоснабжения сельских поселений муниципального образования «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Юкаменский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район» на период 2013 – 2027 годы»;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Генеральный план муниципального образования «Верх-Унинское». 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Общие положения</w:t>
      </w:r>
    </w:p>
    <w:p w:rsidR="00230DC4" w:rsidRPr="00ED3011" w:rsidRDefault="00230DC4" w:rsidP="00230DC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Схема теплоснабжения муниципального образования</w:t>
      </w:r>
      <w:r w:rsidRPr="00ED301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—</w:t>
      </w:r>
      <w:r w:rsidRPr="00ED301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документ,</w:t>
      </w:r>
      <w:r w:rsidRPr="00ED301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содержащий материалы</w:t>
      </w:r>
      <w:r w:rsidRPr="00ED301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обоснованию эффективного и безопасного функционирования системы теплоснабжения, её развития с учётом правового регулирования в области энергосбережения и повышения энергетической эффективности.</w:t>
      </w:r>
    </w:p>
    <w:p w:rsidR="00230DC4" w:rsidRPr="00ED3011" w:rsidRDefault="00230DC4" w:rsidP="00230DC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 по развитию системы теплоснабжения, предусмотренные настоящей схемой, включаются в инвестиционную программу теплоснабжающей организации и, как следствие, могут быть включены в соответствующий тариф организации коммунального комплекса.</w:t>
      </w:r>
    </w:p>
    <w:p w:rsidR="00230DC4" w:rsidRPr="00ED3011" w:rsidRDefault="00230DC4" w:rsidP="00230DC4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Основные цели и задачи Схемы теплоснабжения: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 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повышение надёжности работы систем теплоснабжения в соответствии с нормативными требованиями; 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минимизация затрат на теплоснабжение в расчёте на каждого потребителя в долгосрочной перспективе; 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обеспечение социальных объектов муниципального образования тепловой энергией; </w:t>
      </w:r>
      <w:bookmarkStart w:id="7" w:name="page13"/>
      <w:bookmarkEnd w:id="7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строительство новых объектов производственного и другого назначения, используемых в сфере теплоснабжения МО «Верх-Унинское»; 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улучшение качества жизни за последнее десятилетие обусловливает необходимость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соответствующего развития коммунальной инфраструктуры существующих объектов. Схема разрабатывается на основе анализа фактических тепловых нагрузок потребителей с учётом перспективного развития на 10 лет;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структуры топливного баланса поселения, оценки состояния существующих источников тепла и тепловых сетей и возможности их дальнейшего использования, рассмотрения вопросов надёжности, экономичности.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Разработанная схема теплоснабжения МО «Верх-Унинское» на период до 2027 года включает в себя цели и задачи разработки схемы теплоснабжения, общую характеристику сельского поселения, с</w:t>
      </w:r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уществующее положение в сфере производства, передачи и потребления тепловой энергии для целей теплоснабжения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образования, п</w:t>
      </w:r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редложения реконструкции и технического перевооружения источников тепловой энергии</w:t>
      </w:r>
      <w:r w:rsidRPr="00ED3011">
        <w:rPr>
          <w:rFonts w:ascii="Times New Roman" w:eastAsia="Times New Roman" w:hAnsi="Times New Roman" w:cs="Times New Roman"/>
          <w:iCs/>
          <w:color w:val="252525"/>
          <w:sz w:val="24"/>
          <w:szCs w:val="24"/>
          <w:lang w:eastAsia="en-US"/>
        </w:rPr>
        <w:t xml:space="preserve"> и тепловых сетей, п</w:t>
      </w:r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ерспективное потребление тепловой мощности и тепловой энергии на цели теплоснабжения в</w:t>
      </w:r>
      <w:proofErr w:type="gramEnd"/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административных </w:t>
      </w:r>
      <w:proofErr w:type="gramStart"/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границах</w:t>
      </w:r>
      <w:proofErr w:type="gramEnd"/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поселения.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Цели и задачи разработки схемы теплоснабжения.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Схема теплоснабжения МО «Верх-Унинское» разрабатывается в целях удовлетворения спроса на тепловую энергию (мощность) и теплоноситель, обеспечения надёжного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Схема теплоснабжения сельского поселения представляет документ, в котором обосновывается необходимость и экономическая целесообразность проектирования и строительства новых, расширения и реконструкции существующих источников тепловой энергии и тепловых сетей, средств их эксплуатации и управления с целью обеспечения энергетической безопасности, развития экономики поселения и надёжности теплоснабжения потребителей.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Основными задачами при разработке схемы теплоснабжения  сельского поселения на период до 2027 года являются: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анализ существующей ситуации в теплоснабжении МО «Верх-Унинское»,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выявление дефицита тепловой мощности и формирование вариантов развития системы теплоснабжения для ликвидации данного дефицита,</w:t>
      </w:r>
    </w:p>
    <w:p w:rsidR="00230DC4" w:rsidRPr="00ED3011" w:rsidRDefault="00230DC4" w:rsidP="00230DC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- выбор оптимального варианта развития теплоснабжения и основные рекомендации по развитию системы теплоснабжения муниципального образования до 2022 года.</w:t>
      </w: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Общая характеристика муниципального образования.</w:t>
      </w: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«Верх – Унинское» - одно из 8 муниципальных образований Юкаменского района Удмуртской Республики - занимает территорию в 6638,37га.                                                                                                                             Территория граничит, в основном, с хозяйствами своего района: на севере - с территорией МО «Юкаменское», на востоке - с землями Юкаменского лесничества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Глазовского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Гослесфонда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>, на юге - с Красногорским районом, на западе - с территорией МО «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Ертемское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». На территории муниципального образования расположено 6 населенных пунктов: село Верх-Уни, деревни Доронино, Антропиха, Лялино, Шафеево, Усть-Лекма. Административный центр – село Верх-Уни. </w:t>
      </w:r>
    </w:p>
    <w:p w:rsidR="00230DC4" w:rsidRPr="00ED3011" w:rsidRDefault="00230DC4" w:rsidP="00230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Село Верх-Уни, где находится администрация муниципального образования, расположено в </w:t>
      </w:r>
      <w:smartTag w:uri="urn:schemas-microsoft-com:office:smarttags" w:element="metricconverter">
        <w:smartTagPr>
          <w:attr w:name="ProductID" w:val="15 км"/>
        </w:smartTagPr>
        <w:r w:rsidRPr="00ED3011">
          <w:rPr>
            <w:rFonts w:ascii="Times New Roman" w:eastAsia="Times New Roman" w:hAnsi="Times New Roman" w:cs="Times New Roman"/>
            <w:sz w:val="24"/>
            <w:szCs w:val="24"/>
          </w:rPr>
          <w:t>15 км</w:t>
        </w:r>
      </w:smartTag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от районного центра - села Юкаменское, в </w:t>
      </w:r>
      <w:smartTag w:uri="urn:schemas-microsoft-com:office:smarttags" w:element="metricconverter">
        <w:smartTagPr>
          <w:attr w:name="ProductID" w:val="60 км"/>
        </w:smartTagPr>
        <w:r w:rsidRPr="00ED3011">
          <w:rPr>
            <w:rFonts w:ascii="Times New Roman" w:eastAsia="Times New Roman" w:hAnsi="Times New Roman" w:cs="Times New Roman"/>
            <w:sz w:val="24"/>
            <w:szCs w:val="24"/>
          </w:rPr>
          <w:t>60 км</w:t>
        </w:r>
      </w:smartTag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от ближайшей железнодорожной станции - города Глазов, в </w:t>
      </w:r>
      <w:smartTag w:uri="urn:schemas-microsoft-com:office:smarttags" w:element="metricconverter">
        <w:smartTagPr>
          <w:attr w:name="ProductID" w:val="198 км"/>
        </w:smartTagPr>
        <w:r w:rsidRPr="00ED3011">
          <w:rPr>
            <w:rFonts w:ascii="Times New Roman" w:eastAsia="Times New Roman" w:hAnsi="Times New Roman" w:cs="Times New Roman"/>
            <w:sz w:val="24"/>
            <w:szCs w:val="24"/>
          </w:rPr>
          <w:t>198 км</w:t>
        </w:r>
      </w:smartTag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от столицы Республики - города Ижевск. Связь с районным центром, а также до города Глазов осуществляется по автомобильным дорогам, со столицей Республики - по автомобильным дорогам </w:t>
      </w:r>
      <w:proofErr w:type="gramStart"/>
      <w:r w:rsidRPr="00ED3011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с. Красногорское и г. Глазов и по железной дороге (через г. Глазов).</w:t>
      </w:r>
    </w:p>
    <w:p w:rsidR="00230DC4" w:rsidRPr="00ED3011" w:rsidRDefault="00230DC4" w:rsidP="00230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Численность населения по данным на 01.01.2014 года составила  611 чел. Общее количество хозяйств – 202.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сельского поселения протекает 6 мелких рек, самые крупные из которых 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Юкаменка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и Уни, на которых созданы 7 искусственных водоемов (прудов), в которых распространены такие виды рыб,  как карп, щука, окунь, линь, карась, пескарь,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сорожка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щиклея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>, карась, ёрш.</w:t>
      </w:r>
      <w:proofErr w:type="gram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Грунтовые воды залегают на различной глубине. По днищам большинства балок грунтовые воды (особенно весной) выходят в виде ключей и родников, дающих начало множеству мелких речек и ручьев. Вода родников и ключей хорошего качества, в населенных пунктах используется для питья и хозяйственных целей. Ключи есть во всех населённых пунктах.                                                                                                 Территория поселения находится в лесолуговой зоне, леса занимают менее четверти территории.</w:t>
      </w:r>
    </w:p>
    <w:p w:rsidR="00230DC4" w:rsidRPr="00ED3011" w:rsidRDefault="00230DC4" w:rsidP="00230D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В основном здесь произрастают хвойные породы (ель, пихта, сосна), есть береза, осина, ольха и т.д. </w:t>
      </w:r>
      <w:proofErr w:type="gramStart"/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</w:rPr>
        <w:t>В лесах водятся такие виды диких животных, как волк, лисица, заяц, медведь, лось, бобр, ондатра, хорь, белка, тетерев, глухарь, дикие утки и гуси и пр.</w:t>
      </w:r>
      <w:proofErr w:type="gramEnd"/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окрестных лесах растут белые грибы-боровики, рыжики, подберезовики, подосиновики, грузди, лисички, маслята, </w:t>
      </w:r>
      <w:proofErr w:type="spellStart"/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</w:rPr>
        <w:t>ежовики</w:t>
      </w:r>
      <w:proofErr w:type="spellEnd"/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волнушки;  имеется видовое разнообразие лекарственных трав и 5 видов съедобных ягод: малина, земляника, смородина черная и красная, жимолость, костяника. </w:t>
      </w:r>
      <w:proofErr w:type="gramEnd"/>
    </w:p>
    <w:p w:rsidR="00230DC4" w:rsidRPr="00ED3011" w:rsidRDefault="00230DC4" w:rsidP="00230D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полезных ископаемых на территории сельского поселения имеются залежи гравия, находятся 2 гравийных карьера. </w:t>
      </w:r>
    </w:p>
    <w:p w:rsidR="00230DC4" w:rsidRPr="00ED3011" w:rsidRDefault="00230DC4" w:rsidP="00230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Почвы характеризуются незначительным плодородием. В основном это средне- и сильноподзолистые суглинки, имеющие кислую реакцию среды.</w:t>
      </w:r>
    </w:p>
    <w:p w:rsidR="00230DC4" w:rsidRPr="00ED3011" w:rsidRDefault="00230DC4" w:rsidP="00230DC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Имеются свободные земельные площади для развития животноводства и растениеводства. </w:t>
      </w:r>
      <w:r w:rsidRPr="00ED3011">
        <w:rPr>
          <w:rFonts w:ascii="Times New Roman" w:eastAsia="Times New Roman" w:hAnsi="Times New Roman" w:cs="Times New Roman"/>
        </w:rPr>
        <w:t xml:space="preserve">На территории  МО «Верх-Унинское» располагается 1 крупное сельхозпредприятие - ООО «Верх-Уни», </w:t>
      </w:r>
      <w:proofErr w:type="spellStart"/>
      <w:r w:rsidRPr="00ED3011">
        <w:rPr>
          <w:rFonts w:ascii="Times New Roman" w:eastAsia="Times New Roman" w:hAnsi="Times New Roman" w:cs="Times New Roman"/>
        </w:rPr>
        <w:t>Шафеевская</w:t>
      </w:r>
      <w:proofErr w:type="spellEnd"/>
      <w:r w:rsidRPr="00ED3011">
        <w:rPr>
          <w:rFonts w:ascii="Times New Roman" w:eastAsia="Times New Roman" w:hAnsi="Times New Roman" w:cs="Times New Roman"/>
        </w:rPr>
        <w:t xml:space="preserve"> бригада ООО «Маяк», а также </w:t>
      </w:r>
      <w:proofErr w:type="gramStart"/>
      <w:r w:rsidRPr="00ED3011">
        <w:rPr>
          <w:rFonts w:ascii="Times New Roman" w:eastAsia="Times New Roman" w:hAnsi="Times New Roman" w:cs="Times New Roman"/>
        </w:rPr>
        <w:t>К(</w:t>
      </w:r>
      <w:proofErr w:type="gramEnd"/>
      <w:r w:rsidRPr="00ED3011">
        <w:rPr>
          <w:rFonts w:ascii="Times New Roman" w:eastAsia="Times New Roman" w:hAnsi="Times New Roman" w:cs="Times New Roman"/>
        </w:rPr>
        <w:t xml:space="preserve">Ф)Х  Данилова С.Н. Основное направление деятельности ООО – животноводство, К(Ф)Х Данилова С.Н. - растениеводство;  в сельхозпредприятиях возродилось льноводство. </w:t>
      </w:r>
    </w:p>
    <w:p w:rsidR="00230DC4" w:rsidRPr="00ED3011" w:rsidRDefault="00230DC4" w:rsidP="00230DC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Климат умеренно континентальный. Средняя температура января – 18С</w:t>
      </w:r>
      <w:r w:rsidRPr="00ED30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о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, июля + 17С</w:t>
      </w:r>
      <w:r w:rsidRPr="00ED30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о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Каждый год отмечается небольшой миграционный отток населения, низкая рождаемость, недостаточность трудовых ресурсов, низкий кадровый потенциал.</w:t>
      </w:r>
    </w:p>
    <w:p w:rsidR="00230DC4" w:rsidRPr="00ED3011" w:rsidRDefault="00230DC4" w:rsidP="00230DC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Численность сельского населения по состоянию на 01.04.2014 года составила 598 человек, в том числе трудоспособного населения 384 человек.</w:t>
      </w:r>
    </w:p>
    <w:p w:rsidR="00230DC4" w:rsidRPr="00ED3011" w:rsidRDefault="00230DC4" w:rsidP="00230DC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Структура занятости трудоспособного сельского населения  характеризуется следующими данными:</w:t>
      </w:r>
    </w:p>
    <w:p w:rsidR="00230DC4" w:rsidRPr="00ED3011" w:rsidRDefault="00230DC4" w:rsidP="00230DC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сельскохозяйственное производство - 78 человек </w:t>
      </w:r>
    </w:p>
    <w:p w:rsidR="00230DC4" w:rsidRPr="00ED3011" w:rsidRDefault="00230DC4" w:rsidP="00230DC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бюджетной сферы - 51 человек </w:t>
      </w:r>
    </w:p>
    <w:p w:rsidR="00230DC4" w:rsidRPr="00ED3011" w:rsidRDefault="00230DC4" w:rsidP="00230DC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несельскохозяйственной сферы - 11 человек </w:t>
      </w:r>
    </w:p>
    <w:p w:rsidR="00230DC4" w:rsidRPr="00ED3011" w:rsidRDefault="00230DC4" w:rsidP="00230DC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личное подсобное хозяйство - 36 человек </w:t>
      </w:r>
    </w:p>
    <w:p w:rsidR="00230DC4" w:rsidRPr="00ED3011" w:rsidRDefault="00230DC4" w:rsidP="00230DC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работает за пределами сельской территории - 158 человек </w:t>
      </w:r>
    </w:p>
    <w:p w:rsidR="00230DC4" w:rsidRPr="00ED3011" w:rsidRDefault="00230DC4" w:rsidP="00230DC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не обеспечено работой - 4 человек </w:t>
      </w:r>
    </w:p>
    <w:p w:rsidR="00230DC4" w:rsidRPr="00ED3011" w:rsidRDefault="00230DC4" w:rsidP="00230DC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lastRenderedPageBreak/>
        <w:t>Численность сельского населения по состоянию на 01.04.2014 г.</w:t>
      </w:r>
    </w:p>
    <w:p w:rsidR="00230DC4" w:rsidRPr="00ED3011" w:rsidRDefault="00230DC4" w:rsidP="00230DC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05" w:type="dxa"/>
        <w:tblInd w:w="-6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750"/>
        <w:gridCol w:w="573"/>
        <w:gridCol w:w="600"/>
        <w:gridCol w:w="600"/>
        <w:gridCol w:w="600"/>
        <w:gridCol w:w="600"/>
        <w:gridCol w:w="720"/>
        <w:gridCol w:w="720"/>
        <w:gridCol w:w="720"/>
        <w:gridCol w:w="720"/>
        <w:gridCol w:w="720"/>
        <w:gridCol w:w="690"/>
        <w:gridCol w:w="870"/>
        <w:gridCol w:w="942"/>
      </w:tblGrid>
      <w:tr w:rsidR="00230DC4" w:rsidRPr="00ED3011" w:rsidTr="00E87254">
        <w:trPr>
          <w:cantSplit/>
          <w:trHeight w:val="240"/>
        </w:trPr>
        <w:tc>
          <w:tcPr>
            <w:tcW w:w="480" w:type="dxa"/>
            <w:vMerge w:val="restart"/>
            <w:tcBorders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23" w:type="dxa"/>
            <w:gridSpan w:val="6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Численность сельского населения  (чел.)</w:t>
            </w:r>
          </w:p>
        </w:tc>
        <w:tc>
          <w:tcPr>
            <w:tcW w:w="6102" w:type="dxa"/>
            <w:gridSpan w:val="8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Наличие и занятость </w:t>
            </w:r>
            <w:proofErr w:type="gramStart"/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трудоспособного</w:t>
            </w:r>
            <w:proofErr w:type="gramEnd"/>
          </w:p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сельского населения (чел.)</w:t>
            </w:r>
          </w:p>
        </w:tc>
      </w:tr>
      <w:tr w:rsidR="00230DC4" w:rsidRPr="00ED3011" w:rsidTr="00E87254">
        <w:trPr>
          <w:cantSplit/>
          <w:trHeight w:val="300"/>
        </w:trPr>
        <w:tc>
          <w:tcPr>
            <w:tcW w:w="480" w:type="dxa"/>
            <w:vMerge/>
            <w:tcBorders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97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по возрастным группам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трудоспособного сельского населения - всего</w:t>
            </w: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4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Занято на территории Муниципального образования</w:t>
            </w:r>
          </w:p>
        </w:tc>
        <w:tc>
          <w:tcPr>
            <w:tcW w:w="942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Работает за пределами территории Муниципального образования</w:t>
            </w:r>
          </w:p>
        </w:tc>
      </w:tr>
      <w:tr w:rsidR="00230DC4" w:rsidRPr="00ED3011" w:rsidTr="00E87254">
        <w:trPr>
          <w:cantSplit/>
          <w:trHeight w:val="345"/>
        </w:trPr>
        <w:tc>
          <w:tcPr>
            <w:tcW w:w="480" w:type="dxa"/>
            <w:vMerge/>
            <w:tcBorders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 7 лет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7-18 лет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18-35 лет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35-60 лет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Свыше 60 лет</w:t>
            </w:r>
          </w:p>
        </w:tc>
        <w:tc>
          <w:tcPr>
            <w:tcW w:w="720" w:type="dxa"/>
            <w:vMerge/>
            <w:tcBorders>
              <w:left w:val="nil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занятости сельского населения  Муниципального района</w:t>
            </w:r>
            <w:proofErr w:type="gramStart"/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942" w:type="dxa"/>
            <w:vMerge/>
            <w:tcBorders>
              <w:left w:val="nil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0DC4" w:rsidRPr="00ED3011" w:rsidTr="00E87254">
        <w:trPr>
          <w:cantSplit/>
          <w:trHeight w:val="2310"/>
        </w:trPr>
        <w:tc>
          <w:tcPr>
            <w:tcW w:w="48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сельскохозяйственном производстве</w:t>
            </w: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организациях </w:t>
            </w:r>
          </w:p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бюджетной сферы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прочих организациях 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личном подсобном хозяйстве</w:t>
            </w: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  <w:textDirection w:val="btLr"/>
          </w:tcPr>
          <w:p w:rsidR="00230DC4" w:rsidRPr="00ED3011" w:rsidRDefault="00230DC4" w:rsidP="00E8725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0DC4" w:rsidRPr="00ED3011" w:rsidTr="00E87254">
        <w:trPr>
          <w:trHeight w:val="219"/>
        </w:trPr>
        <w:tc>
          <w:tcPr>
            <w:tcW w:w="4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9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0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42" w:type="dxa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230DC4" w:rsidRPr="00ED3011" w:rsidTr="00E87254">
        <w:trPr>
          <w:trHeight w:val="174"/>
        </w:trPr>
        <w:tc>
          <w:tcPr>
            <w:tcW w:w="4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573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600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0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42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0DC4" w:rsidRPr="00ED3011" w:rsidRDefault="00230DC4" w:rsidP="00E872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</w:tr>
    </w:tbl>
    <w:p w:rsidR="00230DC4" w:rsidRPr="00ED3011" w:rsidRDefault="00230DC4" w:rsidP="00230DC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Cs/>
          <w:iCs/>
          <w:kern w:val="32"/>
          <w:sz w:val="24"/>
          <w:szCs w:val="24"/>
        </w:rPr>
      </w:pPr>
      <w:r w:rsidRPr="00ED3011">
        <w:rPr>
          <w:rFonts w:ascii="Cambria" w:eastAsia="Times New Roman" w:hAnsi="Cambria" w:cs="Times New Roman"/>
          <w:bCs/>
          <w:iCs/>
          <w:kern w:val="32"/>
          <w:sz w:val="24"/>
          <w:szCs w:val="24"/>
        </w:rPr>
        <w:t>Социальная инфраструктура представлена учреждениями образования, здравоохранения и культуры.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ED3011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Система образования в поселении представлена тремя учреждениями: МБОУ «Верх-Унинская ООШ», МДОУ «Верх-</w:t>
      </w:r>
      <w:proofErr w:type="spellStart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Унинский</w:t>
      </w:r>
      <w:proofErr w:type="spellEnd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детский сад», МДОУ «</w:t>
      </w:r>
      <w:proofErr w:type="spellStart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Шафеевский</w:t>
      </w:r>
      <w:proofErr w:type="spellEnd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детский сад». 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На территории поселения находится два фельдшерско-акушерских пункта – Верх-</w:t>
      </w:r>
      <w:proofErr w:type="spellStart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Унинский</w:t>
      </w:r>
      <w:proofErr w:type="spellEnd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Шафеевский</w:t>
      </w:r>
      <w:proofErr w:type="spellEnd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, в которых жителям  оказывается  первая медицинская помощь.</w:t>
      </w:r>
      <w:r w:rsidRPr="00ED301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Культура  в поселении представлена двумя учреждениями: Верх-</w:t>
      </w:r>
      <w:proofErr w:type="spellStart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Унинским</w:t>
      </w:r>
      <w:proofErr w:type="spellEnd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 xml:space="preserve"> ЦСДК и </w:t>
      </w:r>
      <w:proofErr w:type="spellStart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>Шафеевским</w:t>
      </w:r>
      <w:proofErr w:type="spellEnd"/>
      <w:r w:rsidRPr="00ED3011">
        <w:rPr>
          <w:rFonts w:ascii="Times New Roman" w:eastAsia="Times New Roman" w:hAnsi="Times New Roman" w:cs="Times New Roman"/>
          <w:iCs/>
          <w:sz w:val="24"/>
          <w:szCs w:val="24"/>
        </w:rPr>
        <w:t xml:space="preserve"> СДК. На базе Верх-Унинского ЦСДК создан Удмуртский национальный центр. Дома культуры приведены в хорошее состояние, но ещё недостаточно оснащены современным оборудованием.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Здание Верх-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Унинской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основной общеобразовательной школы – одно из двух больших зданий поселения, рассчитанное на 280 мест, в настоящее время насчитывает 28 учащихся 1-9 классов, 13 учителей и 9 человек обслуживающего персонала. В условиях сложного социально-экономического положения и высоких затрат в содержании, эксплуатации зданий бюджетной сферы в 2006 году были проведены мероприятия по оптимизации бюджетных расходов, в ходе которого в здание школы был переведен детский сад, который посещают 8 воспитанников и 3 человека -  персонал. Второе здание – Верх-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Унинский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центральный сельский Дом культуры на 300 мест, в котором  после проведенных мероприятий по оптимизации бюджетных расходов разместились филиал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Юкаменской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центральной районной библиотеки, Верх-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Унинский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фельдшерско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акушерский пункт, администрация МО «Верх-Унинское». В 2010 году на базе ЦСДК был создан культурно-образовательный центр.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Здания Верх-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Унинской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общеобразовательной школы и Верх-Унинского ЦСДК отапливаются угольной котельной ООО «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Жилком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Основные источники централизованного теплоснабжения объектов жилищно-коммунальной сферы представлены в таблице.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92"/>
        <w:gridCol w:w="1912"/>
        <w:gridCol w:w="1913"/>
        <w:gridCol w:w="1914"/>
      </w:tblGrid>
      <w:tr w:rsidR="00230DC4" w:rsidRPr="00ED3011" w:rsidTr="00E87254">
        <w:tc>
          <w:tcPr>
            <w:tcW w:w="540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proofErr w:type="gramEnd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92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Источник теплоснабжения</w:t>
            </w:r>
          </w:p>
        </w:tc>
        <w:tc>
          <w:tcPr>
            <w:tcW w:w="1912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Тип котлов и их </w:t>
            </w: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кол-во</w:t>
            </w:r>
          </w:p>
        </w:tc>
        <w:tc>
          <w:tcPr>
            <w:tcW w:w="1913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Мощность </w:t>
            </w: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котельной, МВт</w:t>
            </w:r>
          </w:p>
        </w:tc>
        <w:tc>
          <w:tcPr>
            <w:tcW w:w="1914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Вид топлива</w:t>
            </w:r>
          </w:p>
        </w:tc>
      </w:tr>
      <w:tr w:rsidR="00230DC4" w:rsidRPr="00ED3011" w:rsidTr="00E87254">
        <w:tc>
          <w:tcPr>
            <w:tcW w:w="540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292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Котельная в с.Верх-Уни</w:t>
            </w:r>
          </w:p>
        </w:tc>
        <w:tc>
          <w:tcPr>
            <w:tcW w:w="1912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КВ-0,63Т (4 </w:t>
            </w:r>
            <w:proofErr w:type="spellStart"/>
            <w:proofErr w:type="gramStart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13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1,26</w:t>
            </w:r>
          </w:p>
        </w:tc>
        <w:tc>
          <w:tcPr>
            <w:tcW w:w="1914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Уголь</w:t>
            </w:r>
          </w:p>
        </w:tc>
      </w:tr>
      <w:tr w:rsidR="00230DC4" w:rsidRPr="00ED3011" w:rsidTr="00E87254">
        <w:tc>
          <w:tcPr>
            <w:tcW w:w="540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92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Котельная в </w:t>
            </w:r>
            <w:proofErr w:type="spellStart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.Ш</w:t>
            </w:r>
            <w:proofErr w:type="gramEnd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афеево</w:t>
            </w:r>
            <w:proofErr w:type="spellEnd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(СДК)</w:t>
            </w:r>
          </w:p>
        </w:tc>
        <w:tc>
          <w:tcPr>
            <w:tcW w:w="1912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КВС-04</w:t>
            </w:r>
          </w:p>
        </w:tc>
        <w:tc>
          <w:tcPr>
            <w:tcW w:w="1913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0,37</w:t>
            </w:r>
          </w:p>
        </w:tc>
        <w:tc>
          <w:tcPr>
            <w:tcW w:w="1914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Уголь, дрова</w:t>
            </w:r>
          </w:p>
        </w:tc>
      </w:tr>
      <w:tr w:rsidR="00230DC4" w:rsidRPr="00ED3011" w:rsidTr="00E87254">
        <w:tc>
          <w:tcPr>
            <w:tcW w:w="540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92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Котельная в </w:t>
            </w:r>
            <w:proofErr w:type="spellStart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.Ш</w:t>
            </w:r>
            <w:proofErr w:type="gramEnd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афеево</w:t>
            </w:r>
            <w:proofErr w:type="spellEnd"/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(детский сад)</w:t>
            </w:r>
          </w:p>
        </w:tc>
        <w:tc>
          <w:tcPr>
            <w:tcW w:w="1912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КВС-04</w:t>
            </w:r>
          </w:p>
        </w:tc>
        <w:tc>
          <w:tcPr>
            <w:tcW w:w="1913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0,37</w:t>
            </w:r>
          </w:p>
        </w:tc>
        <w:tc>
          <w:tcPr>
            <w:tcW w:w="1914" w:type="dxa"/>
            <w:shd w:val="clear" w:color="auto" w:fill="auto"/>
          </w:tcPr>
          <w:p w:rsidR="00230DC4" w:rsidRPr="00ED3011" w:rsidRDefault="00230DC4" w:rsidP="00E8725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Уголь</w:t>
            </w:r>
          </w:p>
        </w:tc>
      </w:tr>
    </w:tbl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Котельная является источником тепла в с.Верх-Уни. Ввод в эксплуатацию – 1983 г. Проводился ремонт, была произведена замена старых котлов </w:t>
      </w:r>
      <w:proofErr w:type="gram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gram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новые.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Сети от котельной двухтрубные. Горячее водоснабжение отсутствует. В остальных населённых пунктах централизованного теплоснабжения нет.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8" w:name="_Toc310522199"/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1. Показатели перспективного спроса на тепловую энергию (мощность) и теплоноситель в установленных границах территории поселения</w:t>
      </w:r>
      <w:bookmarkEnd w:id="6"/>
      <w:bookmarkEnd w:id="8"/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Площадь строительных фондов, подключенных к котельной ООО «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Жилком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», расположенной в с.Верх-Уни, по данным на 2014 год составляет </w:t>
      </w:r>
      <w:smartTag w:uri="urn:schemas-microsoft-com:office:smarttags" w:element="metricconverter">
        <w:smartTagPr>
          <w:attr w:name="ProductID" w:val="0 м2"/>
        </w:smartTagPr>
        <w:r w:rsidRPr="00ED3011">
          <w:rPr>
            <w:rFonts w:ascii="Times New Roman" w:eastAsia="Times New Roman" w:hAnsi="Times New Roman" w:cs="Times New Roman"/>
            <w:sz w:val="24"/>
            <w:szCs w:val="24"/>
          </w:rPr>
          <w:t>0 м</w:t>
        </w:r>
        <w:proofErr w:type="gramStart"/>
        <w:r w:rsidRPr="00ED3011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2</w:t>
        </w:r>
      </w:smartTag>
      <w:proofErr w:type="gramEnd"/>
      <w:r w:rsidRPr="00ED30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Приросты площади строительных фондов, планируемых к подключению к системе теплоснабжения котельной ООО «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Жилком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>», в ближайшей перспективе не ожидаются.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9" w:name="_Toc310522200"/>
      <w:bookmarkStart w:id="10" w:name="_Toc308109857"/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2. Перспективные балансы располагаемой тепловой мощности</w:t>
      </w: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 xml:space="preserve"> источников тепловой энергии и тепловой нагрузки.</w:t>
      </w:r>
      <w:bookmarkEnd w:id="9"/>
      <w:bookmarkEnd w:id="10"/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1. Перспективы подключения к котельной с.Верх-Уни отсутствуют.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2. Для отопления помещений зданий культурно-образовательного центра и школы в котельной установлены два котла КВ – 0,63</w:t>
      </w:r>
      <w:proofErr w:type="gramStart"/>
      <w:r w:rsidRPr="00ED3011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теплопроизводительностью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2х0,54 Гкал/час. 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Перспективные балансы тепловой мощности и тепловой нагрузки котельной с.Верх-Уни представлены в таблице:</w:t>
      </w:r>
    </w:p>
    <w:p w:rsidR="00230DC4" w:rsidRPr="00ED3011" w:rsidRDefault="00230DC4" w:rsidP="00230D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368" w:type="dxa"/>
        <w:tblLook w:val="00A0" w:firstRow="1" w:lastRow="0" w:firstColumn="1" w:lastColumn="0" w:noHBand="0" w:noVBand="0"/>
      </w:tblPr>
      <w:tblGrid>
        <w:gridCol w:w="5517"/>
        <w:gridCol w:w="759"/>
        <w:gridCol w:w="876"/>
        <w:gridCol w:w="778"/>
        <w:gridCol w:w="699"/>
        <w:gridCol w:w="739"/>
      </w:tblGrid>
      <w:tr w:rsidR="00230DC4" w:rsidRPr="00ED3011" w:rsidTr="00E87254">
        <w:trPr>
          <w:trHeight w:val="284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230DC4" w:rsidRPr="00ED3011" w:rsidTr="00E87254">
        <w:trPr>
          <w:trHeight w:val="284"/>
        </w:trPr>
        <w:tc>
          <w:tcPr>
            <w:tcW w:w="5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установленная мощность основного оборудования, Гкал/</w:t>
            </w:r>
            <w:proofErr w:type="gramStart"/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1,26</w:t>
            </w:r>
          </w:p>
        </w:tc>
      </w:tr>
      <w:tr w:rsidR="00230DC4" w:rsidRPr="00ED3011" w:rsidTr="00E87254">
        <w:trPr>
          <w:trHeight w:val="284"/>
        </w:trPr>
        <w:tc>
          <w:tcPr>
            <w:tcW w:w="5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располагаемая мощность, Гкал/</w:t>
            </w:r>
            <w:proofErr w:type="gramStart"/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</w:tr>
    </w:tbl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1" w:name="_Toc310522201"/>
      <w:bookmarkStart w:id="12" w:name="_Toc308109858"/>
    </w:p>
    <w:p w:rsidR="00230DC4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3. Перспективные балансы теплоносителя</w:t>
      </w:r>
      <w:bookmarkEnd w:id="11"/>
      <w:bookmarkEnd w:id="12"/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Toc308109859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Тепловые сети котельной с.Верх-Уни подпитываются из центрального водопровода, проходящего по территории населённого пункта, вода из которого проходит предварительную подготовку препаратом «Комплексон».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4" w:name="_Toc310522202"/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4. Предложения по новому строительству, реконструкции</w:t>
      </w: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>и техническому перевооружению источников тепловой энергии.</w:t>
      </w:r>
      <w:bookmarkEnd w:id="13"/>
      <w:bookmarkEnd w:id="14"/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В 2014 году в рамках подготовки котельной к отопительному зимнему периоду был приобретён материал для ремонта тепловых сетей в с.Верх-Уни, установлены опоры, на которые затем были проложены новые трубы сети теплоснабжения, произведена замена </w:t>
      </w:r>
      <w:r w:rsidRPr="00ED3011">
        <w:rPr>
          <w:rFonts w:ascii="Times New Roman" w:eastAsia="Times New Roman" w:hAnsi="Times New Roman" w:cs="Times New Roman"/>
          <w:sz w:val="24"/>
          <w:szCs w:val="24"/>
        </w:rPr>
        <w:lastRenderedPageBreak/>
        <w:t>тепловой изоляции сетей теплоснабжения Верх-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Унинской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школы, ремонт сетей теплоснабжения Дома культуры с.Верх-Уни.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В перспективе при газификации муниципального образования «Верх-Унинское» будет возможность технического перевооружения котельной. Установленная мощность после реконструкции должна быть не менее 1,08 Гкал/час.</w:t>
      </w: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5" w:name="_Toc310522203"/>
      <w:bookmarkStart w:id="16" w:name="_Toc308109860"/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5. Предложения по новому строительству и реконструкции</w:t>
      </w: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>тепловых сетей и сооружений на них.</w:t>
      </w:r>
      <w:bookmarkEnd w:id="15"/>
      <w:bookmarkEnd w:id="16"/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изыскании финансовых средств из муниципального бюджета в 2018 году в связи с газификацией территории сельского поселения планируется перевод котельной на газ, что предусматривает её частичную реконструкцию. 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Планируются участки индивидуальной застройки, для которых предполагаются индивидуальные источники тепла.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реконструкции  и капитальном ремонте зданий социальной сферы используются существующие источники теплоснабжения.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объектов жилищно-коммунального сектора целесообразно применение децентрализованного теплоснабжения – встроенные и пристроенные к зданию котельные, автоматизированные модульные котельные полной заводской готовности. </w:t>
      </w:r>
      <w:proofErr w:type="gram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Необходимость использования таких теплоисточников обосновывается на следующих стадиях проектирования в каждом конкретном случае.</w:t>
      </w:r>
      <w:proofErr w:type="gramEnd"/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7" w:name="_Toc310522204"/>
      <w:bookmarkStart w:id="18" w:name="_Toc308109861"/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6. Перспективные топливные балансы</w:t>
      </w:r>
      <w:bookmarkEnd w:id="17"/>
      <w:bookmarkEnd w:id="18"/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230DC4" w:rsidRPr="00ED3011" w:rsidRDefault="00230DC4" w:rsidP="00230DC4">
      <w:pPr>
        <w:widowControl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Перспективы топливных балансов отсутствуют.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19" w:name="_Toc310522205"/>
      <w:bookmarkStart w:id="20" w:name="_Toc308109862"/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7. Инвестиции в новое строительство,</w:t>
      </w: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>реконструкцию и техническое перевооружение.</w:t>
      </w:r>
      <w:bookmarkEnd w:id="19"/>
      <w:bookmarkEnd w:id="20"/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Toc308109863"/>
      <w:r w:rsidRPr="00ED3011">
        <w:rPr>
          <w:rFonts w:ascii="Times New Roman" w:eastAsia="Times New Roman" w:hAnsi="Times New Roman" w:cs="Times New Roman"/>
          <w:sz w:val="24"/>
          <w:szCs w:val="24"/>
        </w:rPr>
        <w:t>Инвестиции в реконструкцию котельной с.Верх-Уни, в реконструкцию старых и строительство новых тепловых сетей обеспечиваются Администрацией муниципального образования «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Юкаменский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район».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22" w:name="_Toc308109864"/>
      <w:bookmarkStart w:id="23" w:name="_Toc310522207"/>
      <w:bookmarkStart w:id="24" w:name="_Toc309907557"/>
      <w:bookmarkStart w:id="25" w:name="_Toc309907518"/>
      <w:bookmarkStart w:id="26" w:name="_Toc309907501"/>
      <w:bookmarkStart w:id="27" w:name="_Toc309907204"/>
      <w:bookmarkEnd w:id="21"/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3011">
        <w:rPr>
          <w:rFonts w:ascii="Times New Roman" w:hAnsi="Times New Roman" w:cs="Times New Roman"/>
          <w:b/>
          <w:bCs/>
          <w:i/>
          <w:sz w:val="28"/>
          <w:szCs w:val="28"/>
        </w:rPr>
        <w:t>Обосновывающие материалы к схеме теплоснабжения</w:t>
      </w:r>
      <w:bookmarkEnd w:id="22"/>
      <w:bookmarkEnd w:id="23"/>
      <w:bookmarkEnd w:id="24"/>
      <w:bookmarkEnd w:id="25"/>
      <w:bookmarkEnd w:id="26"/>
      <w:bookmarkEnd w:id="27"/>
      <w:r w:rsidRPr="00ED30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D3011">
        <w:rPr>
          <w:rFonts w:ascii="Times New Roman" w:hAnsi="Times New Roman" w:cs="Times New Roman"/>
          <w:b/>
          <w:bCs/>
          <w:i/>
          <w:sz w:val="28"/>
          <w:szCs w:val="28"/>
        </w:rPr>
        <w:t>МО «Верх-Унинское»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28" w:name="_Toc310522208"/>
      <w:bookmarkStart w:id="29" w:name="_Toc308109865"/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1. Существующее положение в сфере производства,</w:t>
      </w: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>передачи и потребления тепловой энергии для целей теплоснабжения</w:t>
      </w:r>
      <w:bookmarkEnd w:id="28"/>
      <w:bookmarkEnd w:id="29"/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1. Функциональная структура теплоснабжения.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Теплоснабжающей организацией на территории МО «Верх-Унинское» Юкаменского района Удмуртской Республики является ООО «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Жилком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>». Зона эксплуатационной ответственности (балансовой принадлежности) определена в соответствии с договором между теплоснабжающей организацией и потребителем.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2. Источники тепловой энергии.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 «Верх-Унинское» теплоснабжение осуществляется посредством индивидуальных источников отопления, а так же котельной с.Верх-Уни.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3. Котельная с. Верх-Уни.</w:t>
      </w: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а) Установленная мощность двух котлов КВ-0,63Т – 1,08 Гкал/час.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Ввод в эксплуатацию – 1983 г. Проводился ремонт, была произведена замена старых котлов </w:t>
      </w:r>
      <w:proofErr w:type="gramStart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gramEnd"/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новые.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в) Для регулирования отпуска тепловой энергии от источника тепловой энергии используется качественное регулирование,</w:t>
      </w:r>
      <w:r w:rsidRPr="00ED30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D3011">
        <w:rPr>
          <w:rFonts w:ascii="Times New Roman" w:eastAsia="Times New Roman" w:hAnsi="Times New Roman" w:cs="Times New Roman"/>
          <w:sz w:val="24"/>
          <w:szCs w:val="24"/>
        </w:rPr>
        <w:t>т.е. температурой теплоносителя. При постоянном расходе изменяется температура теплоносителя. Температурный график теплоносителя представлен в таблице. При качественном регулировании температура теплоносителя зависит от температуры наружного воздуха. Общий расход теплоносителя во всей системе рассчитывается таким образом, чтобы обеспечить среднюю температуру в помещениях согласно принятым нормам и правилам в Российской Федерации.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8732" w:type="dxa"/>
        <w:jc w:val="center"/>
        <w:tblInd w:w="-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2"/>
        <w:gridCol w:w="2789"/>
        <w:gridCol w:w="2881"/>
      </w:tblGrid>
      <w:tr w:rsidR="00230DC4" w:rsidRPr="00ED3011" w:rsidTr="00E87254">
        <w:trPr>
          <w:jc w:val="center"/>
        </w:trPr>
        <w:tc>
          <w:tcPr>
            <w:tcW w:w="8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Температура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Наружного воздуха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В подающем трубопроводе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обратном  </w:t>
            </w:r>
          </w:p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трубопроводе</w:t>
            </w:r>
            <w:proofErr w:type="gramEnd"/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-28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230DC4" w:rsidRPr="00ED3011" w:rsidTr="00E87254">
        <w:trPr>
          <w:jc w:val="center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-34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</w:tr>
    </w:tbl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г) Прибор учёта тепловой энергии, в котельной не установлен.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4. Тепловые сети.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1) Потери тепловой энергии в сетях не превышают 5% от нагрузки потребителей.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2) Работа насосного оборудования котельной частично автоматизирована. 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3) Для защиты тепловых сетей от превышения давления на котловом оборудовании установлены сбросные клапаны.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5. Тепловые нагрузки потребителей тепловой энергии, групп потребителей тепловой энергии в зонах действия источников тепловой энергии.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85" w:type="dxa"/>
        <w:jc w:val="center"/>
        <w:tblLook w:val="00A0" w:firstRow="1" w:lastRow="0" w:firstColumn="1" w:lastColumn="0" w:noHBand="0" w:noVBand="0"/>
      </w:tblPr>
      <w:tblGrid>
        <w:gridCol w:w="1779"/>
        <w:gridCol w:w="4906"/>
        <w:gridCol w:w="1900"/>
      </w:tblGrid>
      <w:tr w:rsidR="00230DC4" w:rsidRPr="00ED3011" w:rsidTr="00E87254">
        <w:trPr>
          <w:trHeight w:val="264"/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объекта теплопотребления</w:t>
            </w:r>
          </w:p>
        </w:tc>
        <w:tc>
          <w:tcPr>
            <w:tcW w:w="4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 объекта теплопотребления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3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Тепловая нагрузка на отопление, тыс. Гкал/час.</w:t>
            </w:r>
          </w:p>
        </w:tc>
      </w:tr>
      <w:tr w:rsidR="00230DC4" w:rsidRPr="00ED3011" w:rsidTr="00E87254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C4" w:rsidRPr="00ED3011" w:rsidRDefault="00230DC4" w:rsidP="00E8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0DC4" w:rsidRPr="00ED3011" w:rsidTr="00E87254">
        <w:trPr>
          <w:trHeight w:val="270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Село </w:t>
            </w:r>
          </w:p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Верх-Уни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DC4" w:rsidRPr="00ED3011" w:rsidRDefault="00230DC4" w:rsidP="00E8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Культурно - образовательный центр (Дом культуры, библиотека, </w:t>
            </w:r>
            <w:proofErr w:type="spellStart"/>
            <w:r w:rsidRPr="00ED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фельдшерско</w:t>
            </w:r>
            <w:proofErr w:type="spellEnd"/>
            <w:r w:rsidRPr="00ED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акушерский пункт, администрация </w:t>
            </w:r>
            <w:r w:rsidRPr="00ED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0,10</w:t>
            </w:r>
          </w:p>
        </w:tc>
      </w:tr>
      <w:tr w:rsidR="00230DC4" w:rsidRPr="00ED3011" w:rsidTr="00E87254">
        <w:trPr>
          <w:trHeight w:val="270"/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DC4" w:rsidRPr="00ED3011" w:rsidRDefault="00230DC4" w:rsidP="00E8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Верх-Унинская ООШ /  детский сад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</w:rPr>
              <w:t>0,132</w:t>
            </w:r>
          </w:p>
        </w:tc>
      </w:tr>
      <w:tr w:rsidR="00230DC4" w:rsidRPr="00ED3011" w:rsidTr="00E87254">
        <w:trPr>
          <w:trHeight w:val="255"/>
          <w:jc w:val="center"/>
        </w:trPr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30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DC4" w:rsidRPr="00ED3011" w:rsidRDefault="00230DC4" w:rsidP="00E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011">
              <w:rPr>
                <w:rFonts w:ascii="Times New Roman" w:eastAsia="Times New Roman" w:hAnsi="Times New Roman" w:cs="Times New Roman"/>
                <w:sz w:val="24"/>
                <w:szCs w:val="24"/>
              </w:rPr>
              <w:t>0,232</w:t>
            </w:r>
          </w:p>
        </w:tc>
      </w:tr>
    </w:tbl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Максимальное потребление тепловой энергии на отопление 1226,4 Гкал/год. Тепловая энергия на горячее водоснабжение, вентиляцию и кондиционирование не отпускается.</w:t>
      </w:r>
    </w:p>
    <w:p w:rsidR="00230DC4" w:rsidRPr="00ED3011" w:rsidRDefault="00230DC4" w:rsidP="00230D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6. Балансы теплоносителя.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В тепловых сетях котельной потери теплоносителя обосновываются аварийными участками. Тепловые сети подпитываются из водопроводных сетей с.Верх-Уни, проходящих по территории населённого пункта. По качественным анализам воды водоподготовка не требуется.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</w:rPr>
        <w:t>7. Топливно-энергетические балансы.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1) В качестве основного топлива используется бурый уголь Кузбасского и Кемеровского месторождений.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2) В качестве резервного топлива на случай ЧС можно использовать древесину.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hAnsi="Times New Roman" w:cs="Times New Roman"/>
          <w:b/>
          <w:sz w:val="24"/>
          <w:szCs w:val="24"/>
          <w:lang w:eastAsia="en-US"/>
        </w:rPr>
        <w:t>Раздел 2. Перспективные балансы тепловой мощности</w:t>
      </w:r>
      <w:r w:rsidRPr="00ED3011">
        <w:rPr>
          <w:rFonts w:ascii="Times New Roman" w:hAnsi="Times New Roman" w:cs="Times New Roman"/>
          <w:b/>
          <w:sz w:val="24"/>
          <w:szCs w:val="24"/>
          <w:lang w:eastAsia="en-US"/>
        </w:rPr>
        <w:br/>
        <w:t xml:space="preserve"> источников тепловой энергии и тепловой нагрузки.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Перспективный баланс тепловой мощности котельной культурно-образовательного центра д. </w:t>
      </w:r>
      <w:proofErr w:type="spellStart"/>
      <w:r w:rsidRPr="00ED3011">
        <w:rPr>
          <w:rFonts w:ascii="Times New Roman" w:eastAsia="Times New Roman" w:hAnsi="Times New Roman" w:cs="Times New Roman"/>
          <w:sz w:val="24"/>
          <w:szCs w:val="24"/>
        </w:rPr>
        <w:t>Уйвай</w:t>
      </w:r>
      <w:proofErr w:type="spellEnd"/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 показывает, что котельная в холодное время года сможет обеспечить надёжное теплоснабжение со 100% резервированием. 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30" w:name="_Toc310522211"/>
      <w:bookmarkStart w:id="31" w:name="_Toc308109868"/>
      <w:r w:rsidRPr="00ED3011">
        <w:rPr>
          <w:rFonts w:ascii="Times New Roman" w:hAnsi="Times New Roman" w:cs="Times New Roman"/>
          <w:b/>
          <w:sz w:val="24"/>
          <w:szCs w:val="24"/>
          <w:lang w:eastAsia="en-US"/>
        </w:rPr>
        <w:t>Раздел 3. Предложения по строительству, реконструкции</w:t>
      </w:r>
      <w:r w:rsidRPr="00ED3011">
        <w:rPr>
          <w:rFonts w:ascii="Times New Roman" w:hAnsi="Times New Roman" w:cs="Times New Roman"/>
          <w:b/>
          <w:sz w:val="24"/>
          <w:szCs w:val="24"/>
          <w:lang w:eastAsia="en-US"/>
        </w:rPr>
        <w:br/>
        <w:t>и техническому перевооружению источников тепловой энергии</w:t>
      </w:r>
      <w:bookmarkEnd w:id="30"/>
      <w:bookmarkEnd w:id="31"/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В 2014 году из-за повышенного износа теплотрассы котельной была произведена  замена старого оборудования на новое. Реконструкция котельной с переводом на газ предусмотрена на перспективу при газификации поселения.</w:t>
      </w:r>
    </w:p>
    <w:p w:rsidR="00230DC4" w:rsidRPr="00ED3011" w:rsidRDefault="00230DC4" w:rsidP="0023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DC4" w:rsidRPr="00ED3011" w:rsidRDefault="00230DC4" w:rsidP="00230DC4">
      <w:pPr>
        <w:widowControl w:val="0"/>
        <w:spacing w:after="0"/>
        <w:ind w:firstLine="708"/>
        <w:jc w:val="center"/>
        <w:rPr>
          <w:rFonts w:eastAsia="Times New Roman" w:cs="Times New Roman"/>
          <w:lang w:eastAsia="en-US"/>
        </w:rPr>
      </w:pPr>
      <w:bookmarkStart w:id="32" w:name="_Toc310522213"/>
      <w:bookmarkStart w:id="33" w:name="_Toc308109870"/>
      <w:r w:rsidRPr="00ED3011">
        <w:rPr>
          <w:rFonts w:ascii="Times New Roman" w:hAnsi="Times New Roman" w:cs="Times New Roman"/>
          <w:b/>
          <w:bCs/>
          <w:lang w:eastAsia="en-US"/>
        </w:rPr>
        <w:t>Раздел 4. Перспективные топливные балансы</w:t>
      </w:r>
      <w:bookmarkEnd w:id="32"/>
      <w:bookmarkEnd w:id="33"/>
      <w:r w:rsidRPr="00ED3011">
        <w:rPr>
          <w:rFonts w:ascii="Times New Roman" w:hAnsi="Times New Roman" w:cs="Times New Roman"/>
          <w:b/>
          <w:bCs/>
          <w:lang w:eastAsia="en-US"/>
        </w:rPr>
        <w:t>.</w:t>
      </w:r>
    </w:p>
    <w:p w:rsidR="00230DC4" w:rsidRPr="00ED3011" w:rsidRDefault="00230DC4" w:rsidP="00230DC4">
      <w:pPr>
        <w:tabs>
          <w:tab w:val="left" w:pos="7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>Котельная культурно-образовательного центра с.Верх-Уни будет переведена на природный газ, при этом в качестве резервного топливо будет предусмотрен каменный уголь.</w:t>
      </w:r>
    </w:p>
    <w:p w:rsidR="00230DC4" w:rsidRPr="00ED3011" w:rsidRDefault="00230DC4" w:rsidP="00230DC4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34" w:name="_Toc310522214"/>
      <w:bookmarkStart w:id="35" w:name="_Toc308109871"/>
    </w:p>
    <w:p w:rsidR="00230DC4" w:rsidRPr="00ED3011" w:rsidRDefault="00230DC4" w:rsidP="00230DC4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Раздел 5. Обоснование инвестиций в новое строительство,</w:t>
      </w:r>
      <w:r w:rsidRPr="00ED3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  <w:t>реконструкцию и техническое перевооружение</w:t>
      </w:r>
      <w:bookmarkEnd w:id="34"/>
      <w:bookmarkEnd w:id="35"/>
    </w:p>
    <w:p w:rsidR="00230DC4" w:rsidRPr="00ED3011" w:rsidRDefault="00230DC4" w:rsidP="00230DC4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30DC4" w:rsidRPr="00ED3011" w:rsidRDefault="00230DC4" w:rsidP="00230DC4">
      <w:pPr>
        <w:widowControl w:val="0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 Предложения реконструкции и технического перевооружения источников тепловой энергии и тепловых сетей.</w:t>
      </w:r>
    </w:p>
    <w:p w:rsidR="00230DC4" w:rsidRPr="00ED3011" w:rsidRDefault="00230DC4" w:rsidP="00230D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11">
        <w:rPr>
          <w:rFonts w:ascii="Times New Roman" w:eastAsia="Times New Roman" w:hAnsi="Times New Roman" w:cs="Times New Roman"/>
          <w:sz w:val="24"/>
          <w:szCs w:val="24"/>
        </w:rPr>
        <w:t xml:space="preserve">Программа газификации поселения и перевода на природный газ котельной с.Верх-Уни позволит обеспечить потребителей качественными услугами теплоснабжения, разработать схему постепенной замены имеющегося оборудования котельной. </w:t>
      </w:r>
    </w:p>
    <w:p w:rsidR="00230DC4" w:rsidRPr="00ED3011" w:rsidRDefault="00230DC4" w:rsidP="00230DC4">
      <w:pPr>
        <w:widowControl w:val="0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 Перспективное потребление тепловой мощности и тепловой энергии на цели</w:t>
      </w:r>
    </w:p>
    <w:p w:rsidR="00230DC4" w:rsidRPr="00ED3011" w:rsidRDefault="00230DC4" w:rsidP="00230DC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теплоснабжения в административных границах поселения.</w:t>
      </w:r>
    </w:p>
    <w:p w:rsidR="00230DC4" w:rsidRPr="00ED3011" w:rsidRDefault="00230DC4" w:rsidP="00230DC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Численность населения в поселении ежегодно сокращается, поэтому нет </w:t>
      </w:r>
      <w:r w:rsidRPr="00ED301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перспектив строительства многоквартирного жилищного фонда и социальной инфраструктуры. Застройщики индивидуального жилищного фонда используют автономные источники теплоснабжения. В связи с этим потребностей в строительстве новых тепловых сетей, с целью обеспечения приростов тепловой нагрузки в существующих зонах действия источников теплоснабжения, приросте тепловой нагрузки для целей отопления, горячего водоснабжения нет, т.к. фактическая мощность котельной не используется потребителем в полной мере. </w:t>
      </w:r>
    </w:p>
    <w:p w:rsidR="00230DC4" w:rsidRPr="00ED3011" w:rsidRDefault="00230DC4" w:rsidP="00230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230DC4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 CYR" w:hAnsi="Times New Roman CYR" w:cs="Times New Roman CYR"/>
          <w:sz w:val="28"/>
          <w:szCs w:val="28"/>
        </w:rPr>
      </w:pPr>
    </w:p>
    <w:p w:rsidR="00230DC4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 CYR" w:hAnsi="Times New Roman CYR" w:cs="Times New Roman CYR"/>
          <w:sz w:val="28"/>
          <w:szCs w:val="28"/>
        </w:rPr>
      </w:pPr>
    </w:p>
    <w:p w:rsidR="00230DC4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 CYR" w:hAnsi="Times New Roman CYR" w:cs="Times New Roman CYR"/>
          <w:sz w:val="28"/>
          <w:szCs w:val="28"/>
        </w:rPr>
      </w:pPr>
    </w:p>
    <w:p w:rsidR="00230DC4" w:rsidRDefault="00230DC4" w:rsidP="00230DC4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 CYR" w:hAnsi="Times New Roman CYR" w:cs="Times New Roman CYR"/>
          <w:sz w:val="28"/>
          <w:szCs w:val="28"/>
        </w:rPr>
      </w:pPr>
    </w:p>
    <w:p w:rsidR="007577DB" w:rsidRDefault="007577DB"/>
    <w:sectPr w:rsidR="0075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DDE"/>
    <w:multiLevelType w:val="hybridMultilevel"/>
    <w:tmpl w:val="FC5C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3431E8A"/>
    <w:multiLevelType w:val="hybridMultilevel"/>
    <w:tmpl w:val="2C5AD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E2"/>
    <w:rsid w:val="000C4EFC"/>
    <w:rsid w:val="00230DC4"/>
    <w:rsid w:val="00753BE2"/>
    <w:rsid w:val="007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C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DC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C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DC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FA01-629A-48E1-9889-AE20162F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3296</Words>
  <Characters>18790</Characters>
  <Application>Microsoft Office Word</Application>
  <DocSecurity>0</DocSecurity>
  <Lines>156</Lines>
  <Paragraphs>44</Paragraphs>
  <ScaleCrop>false</ScaleCrop>
  <Company/>
  <LinksUpToDate>false</LinksUpToDate>
  <CharactersWithSpaces>22042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2014-12-07T11:37:00Z</dcterms:created>
  <dcterms:modified xsi:type="dcterms:W3CDTF">2014-12-07T11:44:00Z</dcterms:modified>
</cp:coreProperties>
</file>