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7F" w:rsidRPr="0068627F" w:rsidRDefault="0068627F" w:rsidP="0068627F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jc w:val="center"/>
        <w:rPr>
          <w:rFonts w:ascii="Bookman Old Style" w:hAnsi="Bookman Old Style"/>
          <w:i/>
          <w:noProof/>
          <w:color w:val="17365D" w:themeColor="text2" w:themeShade="BF"/>
          <w:lang w:eastAsia="ru-RU"/>
        </w:rPr>
      </w:pPr>
      <w:r w:rsidRPr="0068627F">
        <w:rPr>
          <w:rFonts w:ascii="Bookman Old Style" w:hAnsi="Bookman Old Style"/>
          <w:i/>
          <w:noProof/>
          <w:color w:val="17365D" w:themeColor="text2" w:themeShade="BF"/>
          <w:lang w:eastAsia="ru-RU"/>
        </w:rPr>
        <w:t>ВНЕСЕНИЕ УДОБРЕНИЙ ПОД ПОСЕВ СЕЛЬСКОХОЗЯЙСТВЕННЫХ КУЛЬТУР</w:t>
      </w:r>
    </w:p>
    <w:p w:rsidR="0068627F" w:rsidRPr="0068627F" w:rsidRDefault="0068627F" w:rsidP="0068627F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jc w:val="center"/>
        <w:rPr>
          <w:rFonts w:ascii="Bookman Old Style" w:hAnsi="Bookman Old Style"/>
          <w:i/>
          <w:noProof/>
          <w:color w:val="17365D" w:themeColor="text2" w:themeShade="BF"/>
          <w:lang w:eastAsia="ru-RU"/>
        </w:rPr>
      </w:pPr>
      <w:r w:rsidRPr="0068627F">
        <w:rPr>
          <w:rFonts w:ascii="Bookman Old Style" w:hAnsi="Bookman Old Style"/>
          <w:i/>
          <w:noProof/>
          <w:color w:val="17365D" w:themeColor="text2" w:themeShade="BF"/>
          <w:lang w:eastAsia="ru-RU"/>
        </w:rPr>
        <w:t>СЕЛЬСКОХОЗЯЙСТВЕННЫМИ ОРГАНИЗАЦИЯМИ УДМУРТСКОЙ РЕСПУБЛИКИ</w:t>
      </w:r>
    </w:p>
    <w:p w:rsidR="0068627F" w:rsidRPr="0068627F" w:rsidRDefault="0068627F" w:rsidP="00262D47">
      <w:pPr>
        <w:rPr>
          <w:rFonts w:ascii="Bookman Old Style" w:hAnsi="Bookman Old Style"/>
          <w:noProof/>
          <w:color w:val="1F497D" w:themeColor="text2"/>
          <w:lang w:eastAsia="ru-RU"/>
        </w:rPr>
      </w:pPr>
    </w:p>
    <w:p w:rsidR="00E12839" w:rsidRPr="00AC1ABF" w:rsidRDefault="00332801" w:rsidP="00262D47">
      <w:pPr>
        <w:rPr>
          <w:rFonts w:ascii="Bookman Old Style" w:hAnsi="Bookman Old Style"/>
          <w:i/>
          <w:color w:val="17365D" w:themeColor="text2" w:themeShade="BF"/>
          <w:sz w:val="24"/>
          <w:szCs w:val="24"/>
        </w:rPr>
      </w:pPr>
      <w:r w:rsidRPr="00184ED5">
        <w:rPr>
          <w:rFonts w:ascii="Bookman Old Style" w:hAnsi="Bookman Old Style"/>
          <w:noProof/>
          <w:color w:val="17365D" w:themeColor="text2" w:themeShade="BF"/>
          <w:lang w:eastAsia="ru-RU"/>
        </w:rPr>
        <w:t xml:space="preserve">          </w:t>
      </w:r>
      <w:r w:rsidRPr="00184ED5">
        <w:rPr>
          <w:rFonts w:ascii="Bookman Old Style" w:hAnsi="Bookman Old Style"/>
          <w:i/>
          <w:noProof/>
          <w:color w:val="17365D" w:themeColor="text2" w:themeShade="BF"/>
          <w:sz w:val="24"/>
          <w:szCs w:val="24"/>
          <w:lang w:eastAsia="ru-RU"/>
        </w:rPr>
        <w:t>Минеральные удобрения                    Органические удобрения</w:t>
      </w:r>
    </w:p>
    <w:p w:rsidR="00EA4727" w:rsidRPr="00AC1ABF" w:rsidRDefault="00EA4727"/>
    <w:p w:rsidR="00EA4727" w:rsidRDefault="00EA4727">
      <w:r>
        <w:rPr>
          <w:noProof/>
          <w:lang w:eastAsia="ru-RU"/>
        </w:rPr>
        <w:drawing>
          <wp:inline distT="0" distB="0" distL="0" distR="0">
            <wp:extent cx="2809875" cy="21907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="00C964FB" w:rsidRPr="00C964FB">
        <w:rPr>
          <w:noProof/>
          <w:lang w:eastAsia="ru-RU"/>
        </w:rPr>
        <w:drawing>
          <wp:inline distT="0" distB="0" distL="0" distR="0">
            <wp:extent cx="2924175" cy="2190750"/>
            <wp:effectExtent l="19050" t="0" r="9525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57602" w:rsidRDefault="00357602"/>
    <w:p w:rsidR="00357602" w:rsidRDefault="00332801">
      <w:r>
        <w:rPr>
          <w:noProof/>
          <w:lang w:eastAsia="ru-RU"/>
        </w:rPr>
        <w:drawing>
          <wp:inline distT="0" distB="0" distL="0" distR="0">
            <wp:extent cx="2809875" cy="2266950"/>
            <wp:effectExtent l="19050" t="0" r="952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AC2A94" w:rsidRPr="00AC2A94">
        <w:rPr>
          <w:noProof/>
          <w:lang w:eastAsia="ru-RU"/>
        </w:rPr>
        <w:drawing>
          <wp:inline distT="0" distB="0" distL="0" distR="0">
            <wp:extent cx="2943225" cy="2266950"/>
            <wp:effectExtent l="19050" t="0" r="9525" b="0"/>
            <wp:docPr id="9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97075" w:rsidRDefault="00D97075"/>
    <w:p w:rsidR="00D97075" w:rsidRDefault="008A1FF7">
      <w:r w:rsidRPr="008A1FF7">
        <w:rPr>
          <w:noProof/>
          <w:lang w:eastAsia="ru-RU"/>
        </w:rPr>
        <w:drawing>
          <wp:inline distT="0" distB="0" distL="0" distR="0">
            <wp:extent cx="5781675" cy="3086100"/>
            <wp:effectExtent l="0" t="0" r="0" b="0"/>
            <wp:docPr id="14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D97075" w:rsidSect="008A1F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727"/>
    <w:rsid w:val="000007B8"/>
    <w:rsid w:val="00001C52"/>
    <w:rsid w:val="00007C6A"/>
    <w:rsid w:val="000127E3"/>
    <w:rsid w:val="00016C93"/>
    <w:rsid w:val="00021B0D"/>
    <w:rsid w:val="00024582"/>
    <w:rsid w:val="000300BD"/>
    <w:rsid w:val="00032318"/>
    <w:rsid w:val="00045996"/>
    <w:rsid w:val="00046B02"/>
    <w:rsid w:val="00054F31"/>
    <w:rsid w:val="0005572E"/>
    <w:rsid w:val="00061C1F"/>
    <w:rsid w:val="0006270A"/>
    <w:rsid w:val="00067E70"/>
    <w:rsid w:val="00070B30"/>
    <w:rsid w:val="00071DFF"/>
    <w:rsid w:val="00072ADA"/>
    <w:rsid w:val="00073D43"/>
    <w:rsid w:val="00076CEE"/>
    <w:rsid w:val="0008293E"/>
    <w:rsid w:val="00083EBF"/>
    <w:rsid w:val="00086718"/>
    <w:rsid w:val="00086CD1"/>
    <w:rsid w:val="00091E5B"/>
    <w:rsid w:val="000A141A"/>
    <w:rsid w:val="000A3574"/>
    <w:rsid w:val="000A61E3"/>
    <w:rsid w:val="000A7FC2"/>
    <w:rsid w:val="000D4494"/>
    <w:rsid w:val="000E3095"/>
    <w:rsid w:val="000E710A"/>
    <w:rsid w:val="000F000B"/>
    <w:rsid w:val="000F0D62"/>
    <w:rsid w:val="000F3150"/>
    <w:rsid w:val="000F5223"/>
    <w:rsid w:val="000F79EE"/>
    <w:rsid w:val="0010180E"/>
    <w:rsid w:val="0010207F"/>
    <w:rsid w:val="001026B8"/>
    <w:rsid w:val="00105387"/>
    <w:rsid w:val="0011445D"/>
    <w:rsid w:val="00117B8D"/>
    <w:rsid w:val="00122545"/>
    <w:rsid w:val="001229B5"/>
    <w:rsid w:val="001279C2"/>
    <w:rsid w:val="00132301"/>
    <w:rsid w:val="00132CCE"/>
    <w:rsid w:val="00135CB3"/>
    <w:rsid w:val="00145EB0"/>
    <w:rsid w:val="0015310D"/>
    <w:rsid w:val="001538FB"/>
    <w:rsid w:val="0015693B"/>
    <w:rsid w:val="00157497"/>
    <w:rsid w:val="0016261B"/>
    <w:rsid w:val="00164B8A"/>
    <w:rsid w:val="00171876"/>
    <w:rsid w:val="00174A5B"/>
    <w:rsid w:val="00184ED5"/>
    <w:rsid w:val="00187555"/>
    <w:rsid w:val="001915C7"/>
    <w:rsid w:val="00192281"/>
    <w:rsid w:val="001929A3"/>
    <w:rsid w:val="001959E2"/>
    <w:rsid w:val="001B0B17"/>
    <w:rsid w:val="001B3650"/>
    <w:rsid w:val="001B4FD0"/>
    <w:rsid w:val="001C66A9"/>
    <w:rsid w:val="001D0543"/>
    <w:rsid w:val="001D4369"/>
    <w:rsid w:val="001D521F"/>
    <w:rsid w:val="001D681E"/>
    <w:rsid w:val="001E1E11"/>
    <w:rsid w:val="001E4829"/>
    <w:rsid w:val="001E4E4F"/>
    <w:rsid w:val="001F0B8B"/>
    <w:rsid w:val="001F5CC7"/>
    <w:rsid w:val="00200F4F"/>
    <w:rsid w:val="00204BE0"/>
    <w:rsid w:val="002144EF"/>
    <w:rsid w:val="002157E1"/>
    <w:rsid w:val="00216E36"/>
    <w:rsid w:val="002211B4"/>
    <w:rsid w:val="00221777"/>
    <w:rsid w:val="00227BB3"/>
    <w:rsid w:val="00230D9F"/>
    <w:rsid w:val="0023156B"/>
    <w:rsid w:val="00235999"/>
    <w:rsid w:val="00237DBA"/>
    <w:rsid w:val="00240E8A"/>
    <w:rsid w:val="00246004"/>
    <w:rsid w:val="00246562"/>
    <w:rsid w:val="00252157"/>
    <w:rsid w:val="00262D47"/>
    <w:rsid w:val="00262D7A"/>
    <w:rsid w:val="00263F16"/>
    <w:rsid w:val="0026487A"/>
    <w:rsid w:val="00267072"/>
    <w:rsid w:val="0027115C"/>
    <w:rsid w:val="00272166"/>
    <w:rsid w:val="00274B06"/>
    <w:rsid w:val="002778AE"/>
    <w:rsid w:val="002818CB"/>
    <w:rsid w:val="00283394"/>
    <w:rsid w:val="00283D01"/>
    <w:rsid w:val="00293706"/>
    <w:rsid w:val="00295627"/>
    <w:rsid w:val="002979DD"/>
    <w:rsid w:val="002A020A"/>
    <w:rsid w:val="002A691E"/>
    <w:rsid w:val="002B2985"/>
    <w:rsid w:val="002B3A18"/>
    <w:rsid w:val="002C0ADD"/>
    <w:rsid w:val="002C0E00"/>
    <w:rsid w:val="002D4EB8"/>
    <w:rsid w:val="002E3B56"/>
    <w:rsid w:val="002E786D"/>
    <w:rsid w:val="002F569B"/>
    <w:rsid w:val="002F58DE"/>
    <w:rsid w:val="0030288C"/>
    <w:rsid w:val="00311C32"/>
    <w:rsid w:val="00313993"/>
    <w:rsid w:val="00315AA6"/>
    <w:rsid w:val="0032392D"/>
    <w:rsid w:val="00331D6C"/>
    <w:rsid w:val="00332801"/>
    <w:rsid w:val="00336533"/>
    <w:rsid w:val="00340880"/>
    <w:rsid w:val="00341C32"/>
    <w:rsid w:val="00345213"/>
    <w:rsid w:val="00347A63"/>
    <w:rsid w:val="00352934"/>
    <w:rsid w:val="00353929"/>
    <w:rsid w:val="00354AE0"/>
    <w:rsid w:val="003571B6"/>
    <w:rsid w:val="003572A5"/>
    <w:rsid w:val="00357602"/>
    <w:rsid w:val="00366D4E"/>
    <w:rsid w:val="00370476"/>
    <w:rsid w:val="00371D6F"/>
    <w:rsid w:val="00375E81"/>
    <w:rsid w:val="00376667"/>
    <w:rsid w:val="003830E7"/>
    <w:rsid w:val="0038342D"/>
    <w:rsid w:val="003863D2"/>
    <w:rsid w:val="0039182C"/>
    <w:rsid w:val="00392EC7"/>
    <w:rsid w:val="00394A6B"/>
    <w:rsid w:val="003A1A14"/>
    <w:rsid w:val="003A2BEA"/>
    <w:rsid w:val="003A5913"/>
    <w:rsid w:val="003A62F3"/>
    <w:rsid w:val="003A6335"/>
    <w:rsid w:val="003B0B4E"/>
    <w:rsid w:val="003B1E53"/>
    <w:rsid w:val="003B4981"/>
    <w:rsid w:val="003B4BD5"/>
    <w:rsid w:val="003B695D"/>
    <w:rsid w:val="003C2B1B"/>
    <w:rsid w:val="003C3120"/>
    <w:rsid w:val="003C3B64"/>
    <w:rsid w:val="003C5B03"/>
    <w:rsid w:val="003D2594"/>
    <w:rsid w:val="003D3992"/>
    <w:rsid w:val="003D4769"/>
    <w:rsid w:val="003D54F8"/>
    <w:rsid w:val="003E4181"/>
    <w:rsid w:val="003E71A5"/>
    <w:rsid w:val="003E7A36"/>
    <w:rsid w:val="003E7FBB"/>
    <w:rsid w:val="003F29AC"/>
    <w:rsid w:val="003F3FF0"/>
    <w:rsid w:val="0040653F"/>
    <w:rsid w:val="00407321"/>
    <w:rsid w:val="00416126"/>
    <w:rsid w:val="00420213"/>
    <w:rsid w:val="00422F06"/>
    <w:rsid w:val="00424391"/>
    <w:rsid w:val="00426287"/>
    <w:rsid w:val="00427D3B"/>
    <w:rsid w:val="0044010A"/>
    <w:rsid w:val="004415E8"/>
    <w:rsid w:val="004472D5"/>
    <w:rsid w:val="004523B1"/>
    <w:rsid w:val="00457177"/>
    <w:rsid w:val="00457D65"/>
    <w:rsid w:val="004718B1"/>
    <w:rsid w:val="00474EBD"/>
    <w:rsid w:val="00480AD8"/>
    <w:rsid w:val="00481F07"/>
    <w:rsid w:val="00496424"/>
    <w:rsid w:val="004A073F"/>
    <w:rsid w:val="004A125D"/>
    <w:rsid w:val="004A4195"/>
    <w:rsid w:val="004A5441"/>
    <w:rsid w:val="004B01D5"/>
    <w:rsid w:val="004B3E69"/>
    <w:rsid w:val="004B49FA"/>
    <w:rsid w:val="004C4A4B"/>
    <w:rsid w:val="004C4AD3"/>
    <w:rsid w:val="004D0842"/>
    <w:rsid w:val="004D3C34"/>
    <w:rsid w:val="004E01C2"/>
    <w:rsid w:val="004E2192"/>
    <w:rsid w:val="004E708E"/>
    <w:rsid w:val="004F0CFA"/>
    <w:rsid w:val="004F3A3E"/>
    <w:rsid w:val="004F666D"/>
    <w:rsid w:val="004F6A76"/>
    <w:rsid w:val="00501B3E"/>
    <w:rsid w:val="00503705"/>
    <w:rsid w:val="005050B1"/>
    <w:rsid w:val="00505F5E"/>
    <w:rsid w:val="00506A07"/>
    <w:rsid w:val="00514F4F"/>
    <w:rsid w:val="005162E5"/>
    <w:rsid w:val="00517D34"/>
    <w:rsid w:val="005252C6"/>
    <w:rsid w:val="00525A4D"/>
    <w:rsid w:val="00531947"/>
    <w:rsid w:val="00544B4F"/>
    <w:rsid w:val="0054718D"/>
    <w:rsid w:val="005474A1"/>
    <w:rsid w:val="00547DAA"/>
    <w:rsid w:val="0055619A"/>
    <w:rsid w:val="00557D73"/>
    <w:rsid w:val="00557EE5"/>
    <w:rsid w:val="00561590"/>
    <w:rsid w:val="00565954"/>
    <w:rsid w:val="005664E7"/>
    <w:rsid w:val="005702F5"/>
    <w:rsid w:val="005727B6"/>
    <w:rsid w:val="0057437B"/>
    <w:rsid w:val="00584782"/>
    <w:rsid w:val="00585747"/>
    <w:rsid w:val="00585CC6"/>
    <w:rsid w:val="005910CD"/>
    <w:rsid w:val="005951DE"/>
    <w:rsid w:val="005A0D66"/>
    <w:rsid w:val="005A50EF"/>
    <w:rsid w:val="005B0F8A"/>
    <w:rsid w:val="005C40C9"/>
    <w:rsid w:val="005D127E"/>
    <w:rsid w:val="005D4F5F"/>
    <w:rsid w:val="005D6B24"/>
    <w:rsid w:val="005E0FA3"/>
    <w:rsid w:val="005E32F4"/>
    <w:rsid w:val="005E5D0B"/>
    <w:rsid w:val="005F1667"/>
    <w:rsid w:val="005F2ED7"/>
    <w:rsid w:val="005F7B62"/>
    <w:rsid w:val="005F7D31"/>
    <w:rsid w:val="00601745"/>
    <w:rsid w:val="0060301F"/>
    <w:rsid w:val="00604919"/>
    <w:rsid w:val="0060540D"/>
    <w:rsid w:val="00605C56"/>
    <w:rsid w:val="00607B39"/>
    <w:rsid w:val="006121C7"/>
    <w:rsid w:val="00612649"/>
    <w:rsid w:val="00614574"/>
    <w:rsid w:val="00614FFA"/>
    <w:rsid w:val="00620FE4"/>
    <w:rsid w:val="00621CAB"/>
    <w:rsid w:val="00621E15"/>
    <w:rsid w:val="00622506"/>
    <w:rsid w:val="0062333F"/>
    <w:rsid w:val="00637667"/>
    <w:rsid w:val="00644863"/>
    <w:rsid w:val="00646105"/>
    <w:rsid w:val="0065122D"/>
    <w:rsid w:val="006521BD"/>
    <w:rsid w:val="00652357"/>
    <w:rsid w:val="00652722"/>
    <w:rsid w:val="00657C26"/>
    <w:rsid w:val="0066488F"/>
    <w:rsid w:val="00667160"/>
    <w:rsid w:val="00667CCD"/>
    <w:rsid w:val="006724C5"/>
    <w:rsid w:val="00681AB7"/>
    <w:rsid w:val="0068627F"/>
    <w:rsid w:val="00686BC0"/>
    <w:rsid w:val="00691C5D"/>
    <w:rsid w:val="00692EA0"/>
    <w:rsid w:val="00693E54"/>
    <w:rsid w:val="0069574F"/>
    <w:rsid w:val="006A1309"/>
    <w:rsid w:val="006A3781"/>
    <w:rsid w:val="006A7283"/>
    <w:rsid w:val="006B1F9F"/>
    <w:rsid w:val="006B411E"/>
    <w:rsid w:val="006B42E2"/>
    <w:rsid w:val="006B752B"/>
    <w:rsid w:val="006C2992"/>
    <w:rsid w:val="006C4A38"/>
    <w:rsid w:val="006C58EB"/>
    <w:rsid w:val="006C75D3"/>
    <w:rsid w:val="006D26F3"/>
    <w:rsid w:val="006D2BB5"/>
    <w:rsid w:val="006D3249"/>
    <w:rsid w:val="006D3BB3"/>
    <w:rsid w:val="006D3F60"/>
    <w:rsid w:val="006D5AB6"/>
    <w:rsid w:val="006D7847"/>
    <w:rsid w:val="006E14AF"/>
    <w:rsid w:val="006E2E44"/>
    <w:rsid w:val="006E6881"/>
    <w:rsid w:val="006E6C98"/>
    <w:rsid w:val="006F24A3"/>
    <w:rsid w:val="006F5272"/>
    <w:rsid w:val="006F5E4F"/>
    <w:rsid w:val="00700116"/>
    <w:rsid w:val="00704FE7"/>
    <w:rsid w:val="00707A17"/>
    <w:rsid w:val="0072291F"/>
    <w:rsid w:val="00724864"/>
    <w:rsid w:val="00727D3B"/>
    <w:rsid w:val="00746604"/>
    <w:rsid w:val="00754DB6"/>
    <w:rsid w:val="0075587D"/>
    <w:rsid w:val="00756E9F"/>
    <w:rsid w:val="00760610"/>
    <w:rsid w:val="00760CC5"/>
    <w:rsid w:val="007629C5"/>
    <w:rsid w:val="007631F2"/>
    <w:rsid w:val="00763742"/>
    <w:rsid w:val="00773A29"/>
    <w:rsid w:val="00773D94"/>
    <w:rsid w:val="0077418A"/>
    <w:rsid w:val="00775D1E"/>
    <w:rsid w:val="00775F21"/>
    <w:rsid w:val="007803EC"/>
    <w:rsid w:val="007831BA"/>
    <w:rsid w:val="00785CE1"/>
    <w:rsid w:val="007917FB"/>
    <w:rsid w:val="00792078"/>
    <w:rsid w:val="00796CD3"/>
    <w:rsid w:val="007A0ADE"/>
    <w:rsid w:val="007A3770"/>
    <w:rsid w:val="007A3816"/>
    <w:rsid w:val="007B05B5"/>
    <w:rsid w:val="007B0C0E"/>
    <w:rsid w:val="007B1B78"/>
    <w:rsid w:val="007B352C"/>
    <w:rsid w:val="007B6816"/>
    <w:rsid w:val="007D0AD7"/>
    <w:rsid w:val="007D0D65"/>
    <w:rsid w:val="007F16D6"/>
    <w:rsid w:val="007F1B95"/>
    <w:rsid w:val="007F2123"/>
    <w:rsid w:val="007F2C7A"/>
    <w:rsid w:val="007F4746"/>
    <w:rsid w:val="007F5E4A"/>
    <w:rsid w:val="007F6D7C"/>
    <w:rsid w:val="008007EB"/>
    <w:rsid w:val="0080218C"/>
    <w:rsid w:val="008036D3"/>
    <w:rsid w:val="00803DB8"/>
    <w:rsid w:val="00804831"/>
    <w:rsid w:val="00805216"/>
    <w:rsid w:val="00807C5B"/>
    <w:rsid w:val="00816418"/>
    <w:rsid w:val="00816EC1"/>
    <w:rsid w:val="0081732D"/>
    <w:rsid w:val="008206AF"/>
    <w:rsid w:val="008209C6"/>
    <w:rsid w:val="00823289"/>
    <w:rsid w:val="00825814"/>
    <w:rsid w:val="008269D2"/>
    <w:rsid w:val="00833408"/>
    <w:rsid w:val="00835660"/>
    <w:rsid w:val="00843519"/>
    <w:rsid w:val="008442F9"/>
    <w:rsid w:val="00850BB2"/>
    <w:rsid w:val="00851999"/>
    <w:rsid w:val="00852691"/>
    <w:rsid w:val="00861A1B"/>
    <w:rsid w:val="008676C0"/>
    <w:rsid w:val="008938C6"/>
    <w:rsid w:val="0089539E"/>
    <w:rsid w:val="008A1AFB"/>
    <w:rsid w:val="008A1FF7"/>
    <w:rsid w:val="008A3A44"/>
    <w:rsid w:val="008A5E69"/>
    <w:rsid w:val="008A62D9"/>
    <w:rsid w:val="008B0FE6"/>
    <w:rsid w:val="008B4A5C"/>
    <w:rsid w:val="008B6116"/>
    <w:rsid w:val="008D38AE"/>
    <w:rsid w:val="008D7E48"/>
    <w:rsid w:val="008E207E"/>
    <w:rsid w:val="008E362D"/>
    <w:rsid w:val="008E3787"/>
    <w:rsid w:val="008F0351"/>
    <w:rsid w:val="008F4AD9"/>
    <w:rsid w:val="00902EEA"/>
    <w:rsid w:val="00904F84"/>
    <w:rsid w:val="00910848"/>
    <w:rsid w:val="009138B5"/>
    <w:rsid w:val="00913A20"/>
    <w:rsid w:val="00920BB3"/>
    <w:rsid w:val="00921B17"/>
    <w:rsid w:val="00923C70"/>
    <w:rsid w:val="009250C4"/>
    <w:rsid w:val="009303D6"/>
    <w:rsid w:val="0093194C"/>
    <w:rsid w:val="00933130"/>
    <w:rsid w:val="00933731"/>
    <w:rsid w:val="00935D04"/>
    <w:rsid w:val="00936C24"/>
    <w:rsid w:val="00942E53"/>
    <w:rsid w:val="00951868"/>
    <w:rsid w:val="00952274"/>
    <w:rsid w:val="00953993"/>
    <w:rsid w:val="009572BE"/>
    <w:rsid w:val="00960D40"/>
    <w:rsid w:val="00962B03"/>
    <w:rsid w:val="00963F57"/>
    <w:rsid w:val="00966E81"/>
    <w:rsid w:val="00977202"/>
    <w:rsid w:val="0098023E"/>
    <w:rsid w:val="00980DCC"/>
    <w:rsid w:val="009812AE"/>
    <w:rsid w:val="00981846"/>
    <w:rsid w:val="0098216A"/>
    <w:rsid w:val="0098265C"/>
    <w:rsid w:val="00982D99"/>
    <w:rsid w:val="00983693"/>
    <w:rsid w:val="00983CC5"/>
    <w:rsid w:val="00984D38"/>
    <w:rsid w:val="009872EC"/>
    <w:rsid w:val="00990E94"/>
    <w:rsid w:val="00993112"/>
    <w:rsid w:val="00993E06"/>
    <w:rsid w:val="009946C8"/>
    <w:rsid w:val="0099485F"/>
    <w:rsid w:val="009957D8"/>
    <w:rsid w:val="00995D1C"/>
    <w:rsid w:val="00995F3E"/>
    <w:rsid w:val="00997526"/>
    <w:rsid w:val="009A3269"/>
    <w:rsid w:val="009A4847"/>
    <w:rsid w:val="009A4B4F"/>
    <w:rsid w:val="009B0C61"/>
    <w:rsid w:val="009B165E"/>
    <w:rsid w:val="009B3953"/>
    <w:rsid w:val="009D3BDD"/>
    <w:rsid w:val="009E203F"/>
    <w:rsid w:val="009E26C8"/>
    <w:rsid w:val="009E79FD"/>
    <w:rsid w:val="009F39D9"/>
    <w:rsid w:val="009F6586"/>
    <w:rsid w:val="00A00548"/>
    <w:rsid w:val="00A0288A"/>
    <w:rsid w:val="00A105A0"/>
    <w:rsid w:val="00A110FC"/>
    <w:rsid w:val="00A13816"/>
    <w:rsid w:val="00A16A78"/>
    <w:rsid w:val="00A16E5F"/>
    <w:rsid w:val="00A326FB"/>
    <w:rsid w:val="00A415F8"/>
    <w:rsid w:val="00A4404D"/>
    <w:rsid w:val="00A509EC"/>
    <w:rsid w:val="00A51F0E"/>
    <w:rsid w:val="00A54D62"/>
    <w:rsid w:val="00A569AD"/>
    <w:rsid w:val="00A56E95"/>
    <w:rsid w:val="00A62253"/>
    <w:rsid w:val="00A64FA2"/>
    <w:rsid w:val="00A66379"/>
    <w:rsid w:val="00A66FF5"/>
    <w:rsid w:val="00A6704E"/>
    <w:rsid w:val="00A677BD"/>
    <w:rsid w:val="00A71A52"/>
    <w:rsid w:val="00A74CA7"/>
    <w:rsid w:val="00A779E5"/>
    <w:rsid w:val="00A83B0D"/>
    <w:rsid w:val="00A8417F"/>
    <w:rsid w:val="00A84FAA"/>
    <w:rsid w:val="00A86A9A"/>
    <w:rsid w:val="00A86B8D"/>
    <w:rsid w:val="00A91044"/>
    <w:rsid w:val="00A91B9A"/>
    <w:rsid w:val="00A96B02"/>
    <w:rsid w:val="00AA1476"/>
    <w:rsid w:val="00AA454F"/>
    <w:rsid w:val="00AB0D79"/>
    <w:rsid w:val="00AB2275"/>
    <w:rsid w:val="00AB600E"/>
    <w:rsid w:val="00AB75B9"/>
    <w:rsid w:val="00AB7EF4"/>
    <w:rsid w:val="00AC1ABF"/>
    <w:rsid w:val="00AC1F2C"/>
    <w:rsid w:val="00AC2A94"/>
    <w:rsid w:val="00AC35A5"/>
    <w:rsid w:val="00AC52C1"/>
    <w:rsid w:val="00AC5460"/>
    <w:rsid w:val="00AD1F6C"/>
    <w:rsid w:val="00AD6785"/>
    <w:rsid w:val="00AD7126"/>
    <w:rsid w:val="00AE192B"/>
    <w:rsid w:val="00AE449E"/>
    <w:rsid w:val="00AE4FE4"/>
    <w:rsid w:val="00AF0489"/>
    <w:rsid w:val="00B01597"/>
    <w:rsid w:val="00B04AF3"/>
    <w:rsid w:val="00B06ADB"/>
    <w:rsid w:val="00B12C0F"/>
    <w:rsid w:val="00B1323C"/>
    <w:rsid w:val="00B15A6B"/>
    <w:rsid w:val="00B244AD"/>
    <w:rsid w:val="00B363F7"/>
    <w:rsid w:val="00B5462A"/>
    <w:rsid w:val="00B573A0"/>
    <w:rsid w:val="00B625EF"/>
    <w:rsid w:val="00B62AAE"/>
    <w:rsid w:val="00B74855"/>
    <w:rsid w:val="00B75848"/>
    <w:rsid w:val="00B75A0C"/>
    <w:rsid w:val="00B86CC8"/>
    <w:rsid w:val="00B9531C"/>
    <w:rsid w:val="00BA03B2"/>
    <w:rsid w:val="00BA04F4"/>
    <w:rsid w:val="00BA1304"/>
    <w:rsid w:val="00BA7A29"/>
    <w:rsid w:val="00BB3185"/>
    <w:rsid w:val="00BB3E10"/>
    <w:rsid w:val="00BB43A7"/>
    <w:rsid w:val="00BB508F"/>
    <w:rsid w:val="00BC4D2C"/>
    <w:rsid w:val="00BD1B93"/>
    <w:rsid w:val="00BD2A79"/>
    <w:rsid w:val="00BD56D5"/>
    <w:rsid w:val="00BD769A"/>
    <w:rsid w:val="00BE2873"/>
    <w:rsid w:val="00BE53E3"/>
    <w:rsid w:val="00BE64CA"/>
    <w:rsid w:val="00BF17D1"/>
    <w:rsid w:val="00BF1BB9"/>
    <w:rsid w:val="00BF43CE"/>
    <w:rsid w:val="00C022BB"/>
    <w:rsid w:val="00C07969"/>
    <w:rsid w:val="00C115FE"/>
    <w:rsid w:val="00C12A21"/>
    <w:rsid w:val="00C13EEE"/>
    <w:rsid w:val="00C14EFA"/>
    <w:rsid w:val="00C21D23"/>
    <w:rsid w:val="00C24120"/>
    <w:rsid w:val="00C24931"/>
    <w:rsid w:val="00C24B43"/>
    <w:rsid w:val="00C27AAA"/>
    <w:rsid w:val="00C35B00"/>
    <w:rsid w:val="00C35C8F"/>
    <w:rsid w:val="00C43081"/>
    <w:rsid w:val="00C43805"/>
    <w:rsid w:val="00C43964"/>
    <w:rsid w:val="00C444BE"/>
    <w:rsid w:val="00C44A4D"/>
    <w:rsid w:val="00C44A4E"/>
    <w:rsid w:val="00C50B44"/>
    <w:rsid w:val="00C550FE"/>
    <w:rsid w:val="00C56F4B"/>
    <w:rsid w:val="00C577FD"/>
    <w:rsid w:val="00C6065D"/>
    <w:rsid w:val="00C66F5D"/>
    <w:rsid w:val="00C7003D"/>
    <w:rsid w:val="00C80769"/>
    <w:rsid w:val="00C81150"/>
    <w:rsid w:val="00C83E9D"/>
    <w:rsid w:val="00C84127"/>
    <w:rsid w:val="00C841E3"/>
    <w:rsid w:val="00C9275D"/>
    <w:rsid w:val="00C92D48"/>
    <w:rsid w:val="00C945DA"/>
    <w:rsid w:val="00C949D1"/>
    <w:rsid w:val="00C95E79"/>
    <w:rsid w:val="00C964FB"/>
    <w:rsid w:val="00CA0264"/>
    <w:rsid w:val="00CA18ED"/>
    <w:rsid w:val="00CA40EC"/>
    <w:rsid w:val="00CA5078"/>
    <w:rsid w:val="00CA6F96"/>
    <w:rsid w:val="00CB16DB"/>
    <w:rsid w:val="00CB2226"/>
    <w:rsid w:val="00CB2C24"/>
    <w:rsid w:val="00CB48AD"/>
    <w:rsid w:val="00CB6811"/>
    <w:rsid w:val="00CC243A"/>
    <w:rsid w:val="00CD1CE1"/>
    <w:rsid w:val="00CD5CA4"/>
    <w:rsid w:val="00CD622B"/>
    <w:rsid w:val="00CD7BCB"/>
    <w:rsid w:val="00CE18BB"/>
    <w:rsid w:val="00CE1D31"/>
    <w:rsid w:val="00CE2266"/>
    <w:rsid w:val="00CE75E0"/>
    <w:rsid w:val="00CF0028"/>
    <w:rsid w:val="00CF0C10"/>
    <w:rsid w:val="00CF11CC"/>
    <w:rsid w:val="00D02C4B"/>
    <w:rsid w:val="00D05D6E"/>
    <w:rsid w:val="00D13A03"/>
    <w:rsid w:val="00D14008"/>
    <w:rsid w:val="00D1415B"/>
    <w:rsid w:val="00D1742A"/>
    <w:rsid w:val="00D20415"/>
    <w:rsid w:val="00D20D3E"/>
    <w:rsid w:val="00D227B7"/>
    <w:rsid w:val="00D236BB"/>
    <w:rsid w:val="00D27635"/>
    <w:rsid w:val="00D31634"/>
    <w:rsid w:val="00D32746"/>
    <w:rsid w:val="00D40367"/>
    <w:rsid w:val="00D40A97"/>
    <w:rsid w:val="00D47389"/>
    <w:rsid w:val="00D61FBE"/>
    <w:rsid w:val="00D659B5"/>
    <w:rsid w:val="00D66018"/>
    <w:rsid w:val="00D729B5"/>
    <w:rsid w:val="00D810E0"/>
    <w:rsid w:val="00D83DC0"/>
    <w:rsid w:val="00D84A7C"/>
    <w:rsid w:val="00D9288E"/>
    <w:rsid w:val="00D92BC0"/>
    <w:rsid w:val="00D92DEF"/>
    <w:rsid w:val="00D97075"/>
    <w:rsid w:val="00D972F7"/>
    <w:rsid w:val="00DA4BDC"/>
    <w:rsid w:val="00DB25C4"/>
    <w:rsid w:val="00DB4124"/>
    <w:rsid w:val="00DC4624"/>
    <w:rsid w:val="00DC52CC"/>
    <w:rsid w:val="00DC564D"/>
    <w:rsid w:val="00DC6674"/>
    <w:rsid w:val="00DD1BC3"/>
    <w:rsid w:val="00DD1CA1"/>
    <w:rsid w:val="00DD3AAB"/>
    <w:rsid w:val="00DE5512"/>
    <w:rsid w:val="00DE5EFB"/>
    <w:rsid w:val="00DF073E"/>
    <w:rsid w:val="00DF5100"/>
    <w:rsid w:val="00DF5ACC"/>
    <w:rsid w:val="00DF7A1D"/>
    <w:rsid w:val="00E04BAA"/>
    <w:rsid w:val="00E06551"/>
    <w:rsid w:val="00E10B35"/>
    <w:rsid w:val="00E12839"/>
    <w:rsid w:val="00E26BB9"/>
    <w:rsid w:val="00E276EC"/>
    <w:rsid w:val="00E278DE"/>
    <w:rsid w:val="00E371D7"/>
    <w:rsid w:val="00E40C9A"/>
    <w:rsid w:val="00E56F2C"/>
    <w:rsid w:val="00E60EDC"/>
    <w:rsid w:val="00E626F8"/>
    <w:rsid w:val="00E62D36"/>
    <w:rsid w:val="00E63157"/>
    <w:rsid w:val="00E66F42"/>
    <w:rsid w:val="00E70836"/>
    <w:rsid w:val="00E72059"/>
    <w:rsid w:val="00E723CC"/>
    <w:rsid w:val="00E729AA"/>
    <w:rsid w:val="00E740FF"/>
    <w:rsid w:val="00E817DA"/>
    <w:rsid w:val="00E82311"/>
    <w:rsid w:val="00E82CE0"/>
    <w:rsid w:val="00E90AB4"/>
    <w:rsid w:val="00E90ADC"/>
    <w:rsid w:val="00E930B6"/>
    <w:rsid w:val="00E951A1"/>
    <w:rsid w:val="00EA0AA5"/>
    <w:rsid w:val="00EA24B2"/>
    <w:rsid w:val="00EA4727"/>
    <w:rsid w:val="00EA6545"/>
    <w:rsid w:val="00EB303E"/>
    <w:rsid w:val="00EB75A1"/>
    <w:rsid w:val="00EC015B"/>
    <w:rsid w:val="00EC526B"/>
    <w:rsid w:val="00EC5893"/>
    <w:rsid w:val="00EC5923"/>
    <w:rsid w:val="00EC7B85"/>
    <w:rsid w:val="00ED3F01"/>
    <w:rsid w:val="00EE09CA"/>
    <w:rsid w:val="00EE364B"/>
    <w:rsid w:val="00EE5C09"/>
    <w:rsid w:val="00EF1D3B"/>
    <w:rsid w:val="00EF2C0A"/>
    <w:rsid w:val="00EF388A"/>
    <w:rsid w:val="00EF5929"/>
    <w:rsid w:val="00EF764C"/>
    <w:rsid w:val="00EF7F99"/>
    <w:rsid w:val="00F004D3"/>
    <w:rsid w:val="00F02474"/>
    <w:rsid w:val="00F05386"/>
    <w:rsid w:val="00F05A3D"/>
    <w:rsid w:val="00F05DDC"/>
    <w:rsid w:val="00F111F2"/>
    <w:rsid w:val="00F119FB"/>
    <w:rsid w:val="00F12673"/>
    <w:rsid w:val="00F25D80"/>
    <w:rsid w:val="00F311A2"/>
    <w:rsid w:val="00F32112"/>
    <w:rsid w:val="00F33A65"/>
    <w:rsid w:val="00F3719D"/>
    <w:rsid w:val="00F41932"/>
    <w:rsid w:val="00F5045B"/>
    <w:rsid w:val="00F5131D"/>
    <w:rsid w:val="00F51364"/>
    <w:rsid w:val="00F52284"/>
    <w:rsid w:val="00F53498"/>
    <w:rsid w:val="00F563FF"/>
    <w:rsid w:val="00F6104D"/>
    <w:rsid w:val="00F64E8D"/>
    <w:rsid w:val="00F6592B"/>
    <w:rsid w:val="00F70B24"/>
    <w:rsid w:val="00F759AB"/>
    <w:rsid w:val="00F76339"/>
    <w:rsid w:val="00F84105"/>
    <w:rsid w:val="00F84CD3"/>
    <w:rsid w:val="00F86239"/>
    <w:rsid w:val="00F86C15"/>
    <w:rsid w:val="00F86FF4"/>
    <w:rsid w:val="00F92B04"/>
    <w:rsid w:val="00F9384D"/>
    <w:rsid w:val="00FA0377"/>
    <w:rsid w:val="00FA4746"/>
    <w:rsid w:val="00FA4A3B"/>
    <w:rsid w:val="00FB1A57"/>
    <w:rsid w:val="00FB6AB2"/>
    <w:rsid w:val="00FC545D"/>
    <w:rsid w:val="00FD5F43"/>
    <w:rsid w:val="00FE1D59"/>
    <w:rsid w:val="00FE4A36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7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10" Type="http://schemas.openxmlformats.org/officeDocument/2006/relationships/theme" Target="theme/theme1.xml"/><Relationship Id="rId4" Type="http://schemas.openxmlformats.org/officeDocument/2006/relationships/chart" Target="charts/chart1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9CX\2017\&#1080;&#1085;&#1092;&#1086;&#1075;&#1088;&#1072;&#1092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 sz="1000" baseline="0">
                <a:solidFill>
                  <a:schemeClr val="tx2">
                    <a:lumMod val="75000"/>
                  </a:schemeClr>
                </a:solidFill>
              </a:defRPr>
            </a:pPr>
            <a:r>
              <a:rPr lang="ru-RU" sz="1000" baseline="0">
                <a:solidFill>
                  <a:schemeClr val="tx2">
                    <a:lumMod val="75000"/>
                  </a:schemeClr>
                </a:solidFill>
              </a:rPr>
              <a:t>Внесение минеральных удобрений на 1 га посева под сельскохозяйственные культуры, кг</a:t>
            </a:r>
          </a:p>
        </c:rich>
      </c:tx>
      <c:layout>
        <c:manualLayout>
          <c:xMode val="edge"/>
          <c:yMode val="edge"/>
          <c:x val="0.13761183911051708"/>
          <c:y val="2.8880693710754572E-2"/>
        </c:manualLayout>
      </c:layout>
    </c:title>
    <c:view3D>
      <c:rotX val="10"/>
      <c:rotY val="100"/>
      <c:rAngAx val="1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0.14964736419017777"/>
          <c:y val="0.44145566586785406"/>
          <c:w val="0.79623209460441069"/>
          <c:h val="0.2776884628551867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0"/>
              <c:layout>
                <c:manualLayout>
                  <c:x val="3.0303030303030352E-2"/>
                  <c:y val="-1.4440433212996411E-2"/>
                </c:manualLayout>
              </c:layout>
              <c:showVal val="1"/>
            </c:dLbl>
            <c:txPr>
              <a:bodyPr rot="0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</c:v>
                </c:pt>
              </c:strCache>
            </c:strRef>
          </c:tx>
          <c:dLbls>
            <c:dLbl>
              <c:idx val="0"/>
              <c:layout>
                <c:manualLayout>
                  <c:x val="3.4632034632034632E-2"/>
                  <c:y val="-4.8138567516605594E-3"/>
                </c:manualLayout>
              </c:layout>
              <c:showVal val="1"/>
            </c:dLbl>
            <c:txPr>
              <a:bodyPr rot="0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0"/>
              <c:layout>
                <c:manualLayout>
                  <c:x val="4.3290043290043323E-2"/>
                  <c:y val="-1.9253910950661854E-2"/>
                </c:manualLayout>
              </c:layout>
              <c:showVal val="1"/>
            </c:dLbl>
            <c:txPr>
              <a:bodyPr rot="0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>
                <c:manualLayout>
                  <c:x val="3.0302689436547674E-2"/>
                  <c:y val="-1.9253910950661899E-2"/>
                </c:manualLayout>
              </c:layout>
              <c:showVal val="1"/>
            </c:dLbl>
            <c:txPr>
              <a:bodyPr rot="0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FFFF00"/>
            </a:solidFill>
          </c:spPr>
          <c:dLbls>
            <c:dLbl>
              <c:idx val="0"/>
              <c:layout>
                <c:manualLayout>
                  <c:x val="4.7619047619047672E-2"/>
                  <c:y val="-1.4441191240986615E-2"/>
                </c:manualLayout>
              </c:layout>
              <c:showVal val="1"/>
            </c:dLbl>
            <c:txPr>
              <a:bodyPr rot="0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dLbls>
          <c:showVal val="1"/>
        </c:dLbls>
        <c:shape val="cylinder"/>
        <c:axId val="41790464"/>
        <c:axId val="41804544"/>
        <c:axId val="0"/>
      </c:bar3DChart>
      <c:catAx>
        <c:axId val="41790464"/>
        <c:scaling>
          <c:orientation val="minMax"/>
        </c:scaling>
        <c:axPos val="b"/>
        <c:numFmt formatCode="General" sourceLinked="1"/>
        <c:tickLblPos val="nextTo"/>
        <c:crossAx val="41804544"/>
        <c:crosses val="autoZero"/>
        <c:auto val="1"/>
        <c:lblAlgn val="ctr"/>
        <c:lblOffset val="100"/>
      </c:catAx>
      <c:valAx>
        <c:axId val="41804544"/>
        <c:scaling>
          <c:orientation val="minMax"/>
        </c:scaling>
        <c:axPos val="l"/>
        <c:numFmt formatCode="General" sourceLinked="1"/>
        <c:tickLblPos val="nextTo"/>
        <c:crossAx val="41790464"/>
        <c:crosses val="autoZero"/>
        <c:crossBetween val="between"/>
      </c:valAx>
    </c:plotArea>
    <c:legend>
      <c:legendPos val="b"/>
      <c:layout/>
    </c:legend>
    <c:plotVisOnly val="1"/>
  </c:chart>
  <c:spPr>
    <a:noFill/>
    <a:ln w="19050">
      <a:solidFill>
        <a:schemeClr val="tx2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chemeClr val="tx2">
                    <a:lumMod val="75000"/>
                  </a:schemeClr>
                </a:solidFill>
              </a:defRPr>
            </a:pPr>
            <a:r>
              <a:rPr lang="ru-RU" sz="1000">
                <a:solidFill>
                  <a:schemeClr val="tx2">
                    <a:lumMod val="75000"/>
                  </a:schemeClr>
                </a:solidFill>
              </a:rPr>
              <a:t>Внесение</a:t>
            </a:r>
            <a:r>
              <a:rPr lang="ru-RU" sz="1000" baseline="0">
                <a:solidFill>
                  <a:schemeClr val="tx2">
                    <a:lumMod val="75000"/>
                  </a:schemeClr>
                </a:solidFill>
              </a:rPr>
              <a:t> органических удобрений на 1 га посева под сельскохозяйственные культуры, тонн</a:t>
            </a:r>
            <a:endParaRPr lang="ru-RU" sz="1000">
              <a:solidFill>
                <a:schemeClr val="tx2">
                  <a:lumMod val="75000"/>
                </a:schemeClr>
              </a:solidFill>
            </a:endParaRPr>
          </a:p>
        </c:rich>
      </c:tx>
      <c:layout/>
    </c:title>
    <c:view3D>
      <c:rotX val="10"/>
      <c:rotY val="100"/>
      <c:rAngAx val="1"/>
    </c:view3D>
    <c:plotArea>
      <c:layout>
        <c:manualLayout>
          <c:layoutTarget val="inner"/>
          <c:xMode val="edge"/>
          <c:yMode val="edge"/>
          <c:x val="0.14306565099557988"/>
          <c:y val="0.37034725677877628"/>
          <c:w val="0.8091601904810759"/>
          <c:h val="0.3561189981363853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0"/>
              <c:layout>
                <c:manualLayout>
                  <c:x val="1.7372421281216112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</c:v>
                </c:pt>
              </c:strCache>
            </c:strRef>
          </c:tx>
          <c:dLbls>
            <c:dLbl>
              <c:idx val="0"/>
              <c:layout>
                <c:manualLayout>
                  <c:x val="1.7372421281216112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1.6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0"/>
              <c:layout>
                <c:manualLayout>
                  <c:x val="1.7372421281216112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1.8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>
                <c:manualLayout>
                  <c:x val="3.4744842562432057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1.9000000000000001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FFFF00"/>
            </a:solidFill>
          </c:spPr>
          <c:dLbls>
            <c:dLbl>
              <c:idx val="0"/>
              <c:layout>
                <c:manualLayout>
                  <c:x val="3.9087947882736195E-2"/>
                  <c:y val="-4.9566294919454988E-3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1.9000000000000001</c:v>
                </c:pt>
              </c:numCache>
            </c:numRef>
          </c:val>
        </c:ser>
        <c:shape val="cylinder"/>
        <c:axId val="42538112"/>
        <c:axId val="42539648"/>
        <c:axId val="0"/>
      </c:bar3DChart>
      <c:catAx>
        <c:axId val="42538112"/>
        <c:scaling>
          <c:orientation val="minMax"/>
        </c:scaling>
        <c:delete val="1"/>
        <c:axPos val="b"/>
        <c:numFmt formatCode="General" sourceLinked="1"/>
        <c:tickLblPos val="nextTo"/>
        <c:crossAx val="42539648"/>
        <c:crosses val="autoZero"/>
        <c:auto val="1"/>
        <c:lblAlgn val="ctr"/>
        <c:lblOffset val="100"/>
      </c:catAx>
      <c:valAx>
        <c:axId val="42539648"/>
        <c:scaling>
          <c:orientation val="minMax"/>
        </c:scaling>
        <c:axPos val="l"/>
        <c:numFmt formatCode="General" sourceLinked="1"/>
        <c:tickLblPos val="nextTo"/>
        <c:crossAx val="42538112"/>
        <c:crosses val="autoZero"/>
        <c:crossBetween val="between"/>
      </c:valAx>
    </c:plotArea>
    <c:legend>
      <c:legendPos val="b"/>
      <c:layout/>
    </c:legend>
    <c:plotVisOnly val="1"/>
  </c:chart>
  <c:spPr>
    <a:noFill/>
    <a:ln w="19050">
      <a:solidFill>
        <a:schemeClr val="tx2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chemeClr val="tx2">
                    <a:lumMod val="75000"/>
                  </a:schemeClr>
                </a:solidFill>
              </a:defRPr>
            </a:pPr>
            <a:r>
              <a:rPr lang="ru-RU" sz="1000">
                <a:solidFill>
                  <a:schemeClr val="tx2">
                    <a:lumMod val="75000"/>
                  </a:schemeClr>
                </a:solidFill>
              </a:rPr>
              <a:t>Площадь</a:t>
            </a:r>
            <a:r>
              <a:rPr lang="ru-RU" sz="1000" baseline="0">
                <a:solidFill>
                  <a:schemeClr val="tx2">
                    <a:lumMod val="75000"/>
                  </a:schemeClr>
                </a:solidFill>
              </a:rPr>
              <a:t>, удобренная минеральными удобрениями, в % к общей посевной площади в 2017 году </a:t>
            </a:r>
            <a:endParaRPr lang="ru-RU" sz="1000">
              <a:solidFill>
                <a:schemeClr val="tx2">
                  <a:lumMod val="75000"/>
                </a:schemeClr>
              </a:solidFill>
            </a:endParaRPr>
          </a:p>
        </c:rich>
      </c:tx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0769767338404738"/>
          <c:y val="0.34006396259291138"/>
          <c:w val="0.81172329729970261"/>
          <c:h val="0.2868920796665123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>
                <c:manualLayout>
                  <c:x val="7.1372956553019701E-2"/>
                  <c:y val="-6.772094664637518E-3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зерновые культуры - 62.3%</a:t>
                    </a:r>
                  </a:p>
                </c:rich>
              </c:tx>
              <c:showVal val="1"/>
              <c:showCatName val="1"/>
            </c:dLbl>
            <c:dLbl>
              <c:idx val="1"/>
              <c:layout>
                <c:manualLayout>
                  <c:x val="9.4428043952133209E-2"/>
                  <c:y val="9.4148525551953133E-2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технические культуры - 1.3%</a:t>
                    </a:r>
                  </a:p>
                </c:rich>
              </c:tx>
              <c:showVal val="1"/>
              <c:showCatName val="1"/>
            </c:dLbl>
            <c:dLbl>
              <c:idx val="2"/>
              <c:layout>
                <c:manualLayout>
                  <c:x val="-0.12722736776547011"/>
                  <c:y val="3.0059330818941781E-2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картофель - 0.5%</a:t>
                    </a:r>
                  </a:p>
                  <a:p>
                    <a:endParaRPr lang="ru-RU" sz="800" spc="-100" baseline="0"/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-0.18501672062565783"/>
                  <c:y val="-0.15827830344736393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овощные культуры - 0.1%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-1.7729614306686219E-2"/>
                  <c:y val="-6.0588455854782834E-2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кормовые культуры - 35.8%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sz="800" spc="-10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зерновые культуры</c:v>
                </c:pt>
                <c:pt idx="1">
                  <c:v>технические культуры</c:v>
                </c:pt>
                <c:pt idx="2">
                  <c:v>картофель</c:v>
                </c:pt>
                <c:pt idx="3">
                  <c:v>овощные культуры</c:v>
                </c:pt>
                <c:pt idx="4">
                  <c:v>кормовые культуры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62.3</c:v>
                </c:pt>
                <c:pt idx="1">
                  <c:v>1.3</c:v>
                </c:pt>
                <c:pt idx="2">
                  <c:v>0.5</c:v>
                </c:pt>
                <c:pt idx="3">
                  <c:v>0.1</c:v>
                </c:pt>
                <c:pt idx="4">
                  <c:v>35.800000000000004</c:v>
                </c:pt>
              </c:numCache>
            </c:numRef>
          </c:val>
        </c:ser>
      </c:pie3DChart>
    </c:plotArea>
    <c:legend>
      <c:legendPos val="b"/>
      <c:layout>
        <c:manualLayout>
          <c:xMode val="edge"/>
          <c:yMode val="edge"/>
          <c:x val="3.1778248531116431E-2"/>
          <c:y val="0.79412470500011023"/>
          <c:w val="0.9669003557296455"/>
          <c:h val="0.16665960872537988"/>
        </c:manualLayout>
      </c:layout>
      <c:txPr>
        <a:bodyPr/>
        <a:lstStyle/>
        <a:p>
          <a:pPr>
            <a:defRPr sz="800" baseline="0"/>
          </a:pPr>
          <a:endParaRPr lang="ru-RU"/>
        </a:p>
      </c:txPr>
    </c:legend>
    <c:plotVisOnly val="1"/>
  </c:chart>
  <c:spPr>
    <a:ln w="19050">
      <a:solidFill>
        <a:schemeClr val="accent1">
          <a:lumMod val="75000"/>
        </a:schemeClr>
      </a:solidFill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chemeClr val="tx2">
                    <a:lumMod val="75000"/>
                  </a:schemeClr>
                </a:solidFill>
              </a:defRPr>
            </a:pPr>
            <a:r>
              <a:rPr lang="ru-RU" sz="1000">
                <a:solidFill>
                  <a:schemeClr val="tx2">
                    <a:lumMod val="75000"/>
                  </a:schemeClr>
                </a:solidFill>
              </a:rPr>
              <a:t>Площадь</a:t>
            </a:r>
            <a:r>
              <a:rPr lang="ru-RU" sz="1000" baseline="0">
                <a:solidFill>
                  <a:schemeClr val="tx2">
                    <a:lumMod val="75000"/>
                  </a:schemeClr>
                </a:solidFill>
              </a:rPr>
              <a:t>, удобренная органическими удобрениями, в % к общей посевной площади в 2017 году</a:t>
            </a:r>
            <a:endParaRPr lang="ru-RU" sz="1000">
              <a:solidFill>
                <a:schemeClr val="tx2">
                  <a:lumMod val="75000"/>
                </a:schemeClr>
              </a:solidFill>
            </a:endParaRPr>
          </a:p>
        </c:rich>
      </c:tx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7.112979809562639E-2"/>
          <c:y val="0.33446172169655297"/>
          <c:w val="0.81890545235243706"/>
          <c:h val="0.2868920796665123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>
                <c:manualLayout>
                  <c:x val="7.1372956553019701E-2"/>
                  <c:y val="-6.7720946646375197E-3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зерновые культуры - 43.3%</a:t>
                    </a:r>
                  </a:p>
                </c:rich>
              </c:tx>
              <c:showVal val="1"/>
              <c:showCatName val="1"/>
            </c:dLbl>
            <c:dLbl>
              <c:idx val="1"/>
              <c:layout>
                <c:manualLayout>
                  <c:x val="0.16532579058685626"/>
                  <c:y val="-4.0305255960651966E-2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технические культуры - 0.7%</a:t>
                    </a:r>
                  </a:p>
                </c:rich>
              </c:tx>
              <c:showVal val="1"/>
              <c:showCatName val="1"/>
            </c:dLbl>
            <c:dLbl>
              <c:idx val="2"/>
              <c:layout>
                <c:manualLayout>
                  <c:x val="-8.698315623168458E-2"/>
                  <c:y val="3.770308123249299E-2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картофель - 0.9%</a:t>
                    </a:r>
                  </a:p>
                  <a:p>
                    <a:endParaRPr lang="ru-RU" sz="800" spc="-100" baseline="0"/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-0.28857698612916127"/>
                  <c:y val="3.2197887028827296E-2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овощные культуры - 0.0%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-4.2390914727892158E-2"/>
                  <c:y val="-0.13341758750744451"/>
                </c:manualLayout>
              </c:layout>
              <c:tx>
                <c:rich>
                  <a:bodyPr/>
                  <a:lstStyle/>
                  <a:p>
                    <a:r>
                      <a:rPr lang="ru-RU" sz="800" spc="-100" baseline="0"/>
                      <a:t>кормовые культуры - 55.1%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sz="800" spc="-10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зерновые культуры</c:v>
                </c:pt>
                <c:pt idx="1">
                  <c:v>технические культуры</c:v>
                </c:pt>
                <c:pt idx="2">
                  <c:v>картофель</c:v>
                </c:pt>
                <c:pt idx="3">
                  <c:v>овощные культуры</c:v>
                </c:pt>
                <c:pt idx="4">
                  <c:v>кормовые культуры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43.3</c:v>
                </c:pt>
                <c:pt idx="1">
                  <c:v>0.70000000000000062</c:v>
                </c:pt>
                <c:pt idx="2">
                  <c:v>0.9</c:v>
                </c:pt>
                <c:pt idx="3">
                  <c:v>0</c:v>
                </c:pt>
                <c:pt idx="4">
                  <c:v>55.1</c:v>
                </c:pt>
              </c:numCache>
            </c:numRef>
          </c:val>
        </c:ser>
      </c:pie3DChart>
    </c:plotArea>
    <c:legend>
      <c:legendPos val="b"/>
      <c:layout>
        <c:manualLayout>
          <c:xMode val="edge"/>
          <c:yMode val="edge"/>
          <c:x val="3.1778248531116444E-2"/>
          <c:y val="0.79412470500011023"/>
          <c:w val="0.9669003557296455"/>
          <c:h val="0.16665960872537988"/>
        </c:manualLayout>
      </c:layout>
      <c:txPr>
        <a:bodyPr/>
        <a:lstStyle/>
        <a:p>
          <a:pPr>
            <a:defRPr sz="800" baseline="0"/>
          </a:pPr>
          <a:endParaRPr lang="ru-RU"/>
        </a:p>
      </c:txPr>
    </c:legend>
    <c:plotVisOnly val="1"/>
  </c:chart>
  <c:spPr>
    <a:ln w="19050">
      <a:solidFill>
        <a:schemeClr val="accent1">
          <a:lumMod val="75000"/>
        </a:schemeClr>
      </a:solidFill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2"/>
  <c:chart>
    <c:title>
      <c:tx>
        <c:rich>
          <a:bodyPr/>
          <a:lstStyle/>
          <a:p>
            <a:pPr>
              <a:defRPr sz="900" baseline="0">
                <a:latin typeface="Bookman Old Style" pitchFamily="18" charset="0"/>
              </a:defRPr>
            </a:pPr>
            <a:r>
              <a:rPr lang="ru-RU" sz="900" baseline="0">
                <a:solidFill>
                  <a:schemeClr val="tx2">
                    <a:lumMod val="75000"/>
                  </a:schemeClr>
                </a:solidFill>
                <a:latin typeface="Bookman Old Style" pitchFamily="18" charset="0"/>
              </a:rPr>
              <a:t>Рейтинг районов республики по внесению минеральных </a:t>
            </a:r>
          </a:p>
          <a:p>
            <a:pPr>
              <a:defRPr sz="900" baseline="0">
                <a:latin typeface="Bookman Old Style" pitchFamily="18" charset="0"/>
              </a:defRPr>
            </a:pPr>
            <a:r>
              <a:rPr lang="ru-RU" sz="900" baseline="0">
                <a:solidFill>
                  <a:schemeClr val="tx2">
                    <a:lumMod val="75000"/>
                  </a:schemeClr>
                </a:solidFill>
                <a:latin typeface="Bookman Old Style" pitchFamily="18" charset="0"/>
              </a:rPr>
              <a:t>удобрений в пересчете на 100% питательных веществ </a:t>
            </a:r>
          </a:p>
          <a:p>
            <a:pPr>
              <a:defRPr sz="900" baseline="0">
                <a:latin typeface="Bookman Old Style" pitchFamily="18" charset="0"/>
              </a:defRPr>
            </a:pPr>
            <a:r>
              <a:rPr lang="ru-RU" sz="900" baseline="0">
                <a:solidFill>
                  <a:schemeClr val="tx2">
                    <a:lumMod val="75000"/>
                  </a:schemeClr>
                </a:solidFill>
                <a:latin typeface="Bookman Old Style" pitchFamily="18" charset="0"/>
              </a:rPr>
              <a:t>на 1 га посева сельскохозяйственных культур в 2017 году</a:t>
            </a:r>
          </a:p>
          <a:p>
            <a:pPr>
              <a:defRPr sz="900" baseline="0">
                <a:latin typeface="Bookman Old Style" pitchFamily="18" charset="0"/>
              </a:defRPr>
            </a:pPr>
            <a:endParaRPr lang="ru-RU" sz="900" baseline="0">
              <a:latin typeface="Bookman Old Style" pitchFamily="18" charset="0"/>
            </a:endParaRPr>
          </a:p>
        </c:rich>
      </c:tx>
      <c:layout>
        <c:manualLayout>
          <c:xMode val="edge"/>
          <c:yMode val="edge"/>
          <c:x val="0.31698592630295841"/>
          <c:y val="7.0921969973313292E-2"/>
        </c:manualLayout>
      </c:layout>
      <c:overlay val="1"/>
      <c:spPr>
        <a:solidFill>
          <a:schemeClr val="bg1"/>
        </a:solidFill>
      </c:spPr>
    </c:title>
    <c:plotArea>
      <c:layout>
        <c:manualLayout>
          <c:layoutTarget val="inner"/>
          <c:xMode val="edge"/>
          <c:yMode val="edge"/>
          <c:x val="0.15345985376210203"/>
          <c:y val="5.2061825605132693E-2"/>
          <c:w val="0.79791465358069991"/>
          <c:h val="0.6667210215622916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00B050"/>
            </a:solidFill>
          </c:spPr>
          <c:dLbls>
            <c:txPr>
              <a:bodyPr/>
              <a:lstStyle/>
              <a:p>
                <a:pPr>
                  <a:defRPr sz="700" b="0" i="0" baseline="0">
                    <a:latin typeface="Times New Roman" pitchFamily="18" charset="0"/>
                  </a:defRPr>
                </a:pPr>
                <a:endParaRPr lang="ru-RU"/>
              </a:p>
            </c:txPr>
            <c:dLblPos val="outEnd"/>
            <c:showVal val="1"/>
          </c:dLbls>
          <c:cat>
            <c:strRef>
              <c:f>Лист1!$M$62:$M$85</c:f>
              <c:strCache>
                <c:ptCount val="24"/>
                <c:pt idx="0">
                  <c:v>Вавожский</c:v>
                </c:pt>
                <c:pt idx="1">
                  <c:v>Можгинский</c:v>
                </c:pt>
                <c:pt idx="2">
                  <c:v>Воткинский</c:v>
                </c:pt>
                <c:pt idx="3">
                  <c:v>Алнашский</c:v>
                </c:pt>
                <c:pt idx="4">
                  <c:v>Граховский</c:v>
                </c:pt>
                <c:pt idx="5">
                  <c:v>Шарканский</c:v>
                </c:pt>
                <c:pt idx="6">
                  <c:v>Завьяловский</c:v>
                </c:pt>
                <c:pt idx="7">
                  <c:v>Сюмсинский</c:v>
                </c:pt>
                <c:pt idx="8">
                  <c:v>Каракулинский</c:v>
                </c:pt>
                <c:pt idx="9">
                  <c:v>Малопургинский</c:v>
                </c:pt>
                <c:pt idx="10">
                  <c:v>Киясовский</c:v>
                </c:pt>
                <c:pt idx="11">
                  <c:v>Увинский</c:v>
                </c:pt>
                <c:pt idx="12">
                  <c:v>Якшур-Бодьинский</c:v>
                </c:pt>
                <c:pt idx="13">
                  <c:v>Игринский</c:v>
                </c:pt>
                <c:pt idx="14">
                  <c:v>Балезинский</c:v>
                </c:pt>
                <c:pt idx="15">
                  <c:v>Сарапульский</c:v>
                </c:pt>
                <c:pt idx="16">
                  <c:v>Глазовский </c:v>
                </c:pt>
                <c:pt idx="17">
                  <c:v>Селтинский</c:v>
                </c:pt>
                <c:pt idx="18">
                  <c:v>Ярский</c:v>
                </c:pt>
                <c:pt idx="19">
                  <c:v>Кезский</c:v>
                </c:pt>
                <c:pt idx="20">
                  <c:v>Дебесский</c:v>
                </c:pt>
                <c:pt idx="21">
                  <c:v>Юкаменский</c:v>
                </c:pt>
                <c:pt idx="22">
                  <c:v>Кизнерский</c:v>
                </c:pt>
                <c:pt idx="23">
                  <c:v>Красногорский</c:v>
                </c:pt>
              </c:strCache>
            </c:strRef>
          </c:cat>
          <c:val>
            <c:numRef>
              <c:f>Лист1!$N$62:$N$85</c:f>
              <c:numCache>
                <c:formatCode>General</c:formatCode>
                <c:ptCount val="24"/>
                <c:pt idx="0">
                  <c:v>70.3</c:v>
                </c:pt>
                <c:pt idx="1">
                  <c:v>38.800000000000004</c:v>
                </c:pt>
                <c:pt idx="2">
                  <c:v>29.2</c:v>
                </c:pt>
                <c:pt idx="3">
                  <c:v>27.2</c:v>
                </c:pt>
                <c:pt idx="4">
                  <c:v>25.9</c:v>
                </c:pt>
                <c:pt idx="5">
                  <c:v>24.4</c:v>
                </c:pt>
                <c:pt idx="6">
                  <c:v>24.3</c:v>
                </c:pt>
                <c:pt idx="7">
                  <c:v>18.2</c:v>
                </c:pt>
                <c:pt idx="8">
                  <c:v>18.2</c:v>
                </c:pt>
                <c:pt idx="9">
                  <c:v>17.899999999999999</c:v>
                </c:pt>
                <c:pt idx="10">
                  <c:v>16.2</c:v>
                </c:pt>
                <c:pt idx="11">
                  <c:v>16.100000000000001</c:v>
                </c:pt>
                <c:pt idx="12">
                  <c:v>14.2</c:v>
                </c:pt>
                <c:pt idx="13">
                  <c:v>13.9</c:v>
                </c:pt>
                <c:pt idx="14">
                  <c:v>13.6</c:v>
                </c:pt>
                <c:pt idx="15">
                  <c:v>12.9</c:v>
                </c:pt>
                <c:pt idx="16">
                  <c:v>12.4</c:v>
                </c:pt>
                <c:pt idx="17">
                  <c:v>11.8</c:v>
                </c:pt>
                <c:pt idx="18">
                  <c:v>11.3</c:v>
                </c:pt>
                <c:pt idx="19">
                  <c:v>9.6</c:v>
                </c:pt>
                <c:pt idx="20">
                  <c:v>9.1</c:v>
                </c:pt>
                <c:pt idx="21">
                  <c:v>8.5</c:v>
                </c:pt>
                <c:pt idx="22">
                  <c:v>5.0999999999999996</c:v>
                </c:pt>
                <c:pt idx="23">
                  <c:v>1.6</c:v>
                </c:pt>
              </c:numCache>
            </c:numRef>
          </c:val>
        </c:ser>
        <c:dLbls>
          <c:showVal val="1"/>
        </c:dLbls>
        <c:axId val="41735296"/>
        <c:axId val="41736832"/>
      </c:barChart>
      <c:catAx>
        <c:axId val="4173529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00" baseline="0"/>
            </a:pPr>
            <a:endParaRPr lang="ru-RU"/>
          </a:p>
        </c:txPr>
        <c:crossAx val="41736832"/>
        <c:crosses val="autoZero"/>
        <c:auto val="1"/>
        <c:lblAlgn val="ctr"/>
        <c:lblOffset val="100"/>
      </c:catAx>
      <c:valAx>
        <c:axId val="41736832"/>
        <c:scaling>
          <c:orientation val="minMax"/>
        </c:scaling>
        <c:axPos val="l"/>
        <c:numFmt formatCode="General" sourceLinked="1"/>
        <c:tickLblPos val="nextTo"/>
        <c:crossAx val="41735296"/>
        <c:crosses val="autoZero"/>
        <c:crossBetween val="between"/>
      </c:valAx>
    </c:plotArea>
    <c:plotVisOnly val="1"/>
  </c:chart>
  <c:spPr>
    <a:ln w="19050"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0.15499</cdr:x>
      <cdr:y>0.54155</cdr:y>
    </cdr:from>
    <cdr:to>
      <cdr:x>0.92857</cdr:x>
      <cdr:y>0.54424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 flipV="1">
          <a:off x="1095374" y="1924049"/>
          <a:ext cx="5467350" cy="9525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FFC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0.78089</cdr:x>
      <cdr:y>0.34341</cdr:y>
    </cdr:from>
    <cdr:to>
      <cdr:x>0.91176</cdr:x>
      <cdr:y>0.43827</cdr:y>
    </cdr:to>
    <cdr:sp macro="" textlink="">
      <cdr:nvSpPr>
        <cdr:cNvPr id="5" name="Прямоугольная выноска 4"/>
        <cdr:cNvSpPr/>
      </cdr:nvSpPr>
      <cdr:spPr>
        <a:xfrm xmlns:a="http://schemas.openxmlformats.org/drawingml/2006/main">
          <a:off x="4514850" y="1059802"/>
          <a:ext cx="756650" cy="292748"/>
        </a:xfrm>
        <a:prstGeom xmlns:a="http://schemas.openxmlformats.org/drawingml/2006/main" prst="wedgeRectCallout">
          <a:avLst>
            <a:gd name="adj1" fmla="val -21725"/>
            <a:gd name="adj2" fmla="val 143421"/>
          </a:avLst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rgbClr val="FFC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pPr algn="l"/>
          <a:r>
            <a:rPr lang="ru-RU" sz="8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19,9  по республике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</cp:revision>
  <cp:lastPrinted>2018-03-30T07:38:00Z</cp:lastPrinted>
  <dcterms:created xsi:type="dcterms:W3CDTF">2018-04-02T05:00:00Z</dcterms:created>
  <dcterms:modified xsi:type="dcterms:W3CDTF">2018-04-02T05:00:00Z</dcterms:modified>
</cp:coreProperties>
</file>