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722" w:rsidRDefault="00232458">
      <w:r w:rsidRPr="00232458">
        <w:drawing>
          <wp:inline distT="0" distB="0" distL="0" distR="0">
            <wp:extent cx="8936966" cy="5693434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933722" w:rsidSect="0023245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embedSystemFonts/>
  <w:stylePaneFormatFilter w:val="3F01"/>
  <w:defaultTabStop w:val="708"/>
  <w:characterSpacingControl w:val="doNotCompress"/>
  <w:compat/>
  <w:rsids>
    <w:rsidRoot w:val="00232458"/>
    <w:rsid w:val="00232458"/>
    <w:rsid w:val="00546CF4"/>
    <w:rsid w:val="00933722"/>
    <w:rsid w:val="00942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2D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24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24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&#1057;&#1040;&#1049;&#1058;\2020\&#1054;&#1050;&#1042;&#1069;&#1044;_&#1048;&#1055;_&#1070;&#1051;_&#1080;&#1085;&#1092;&#1086;&#1075;&#1088;&#1072;&#1092;&#1080;&#1082;&#1072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20"/>
      <c:rotY val="60"/>
      <c:depthPercent val="100"/>
      <c:perspective val="30"/>
    </c:view3D>
    <c:floor>
      <c:spPr>
        <a:ln>
          <a:noFill/>
        </a:ln>
      </c:spPr>
    </c:floor>
    <c:plotArea>
      <c:layout>
        <c:manualLayout>
          <c:layoutTarget val="inner"/>
          <c:xMode val="edge"/>
          <c:yMode val="edge"/>
          <c:x val="5.3317990026850844E-2"/>
          <c:y val="0.16312056737588634"/>
          <c:w val="0.5903337169159949"/>
          <c:h val="0.76453900709219913"/>
        </c:manualLayout>
      </c:layout>
      <c:bar3DChart>
        <c:barDir val="col"/>
        <c:grouping val="standard"/>
        <c:ser>
          <c:idx val="0"/>
          <c:order val="0"/>
          <c:tx>
            <c:strRef>
              <c:f>'Лист1 (2)'!$B$1</c:f>
              <c:strCache>
                <c:ptCount val="1"/>
                <c:pt idx="0">
                  <c:v>Предприятия и организации</c:v>
                </c:pt>
              </c:strCache>
            </c:strRef>
          </c:tx>
          <c:spPr>
            <a:gradFill>
              <a:gsLst>
                <a:gs pos="11000">
                  <a:srgbClr val="CC0000"/>
                </a:gs>
                <a:gs pos="43000">
                  <a:srgbClr val="FF0000"/>
                </a:gs>
                <a:gs pos="64000">
                  <a:srgbClr val="FF3300"/>
                </a:gs>
              </a:gsLst>
              <a:lin ang="5400000" scaled="0"/>
            </a:gradFill>
            <a:ln>
              <a:solidFill>
                <a:srgbClr val="CC0000"/>
              </a:solidFill>
            </a:ln>
            <a:scene3d>
              <a:camera prst="orthographicFront"/>
              <a:lightRig rig="threePt" dir="t"/>
            </a:scene3d>
            <a:sp3d prstMaterial="metal">
              <a:bevelT w="165100" prst="coolSlant"/>
            </a:sp3d>
          </c:spPr>
          <c:dLbls>
            <c:dLbl>
              <c:idx val="0"/>
              <c:layout>
                <c:manualLayout>
                  <c:x val="-3.3645454847488133E-2"/>
                  <c:y val="0.41459674987435102"/>
                </c:manualLayout>
              </c:layout>
              <c:showVal val="1"/>
            </c:dLbl>
            <c:dLbl>
              <c:idx val="1"/>
              <c:layout>
                <c:manualLayout>
                  <c:x val="-3.1328929490986278E-2"/>
                  <c:y val="0.34032657619925233"/>
                </c:manualLayout>
              </c:layout>
              <c:showVal val="1"/>
            </c:dLbl>
            <c:dLbl>
              <c:idx val="2"/>
              <c:layout>
                <c:manualLayout>
                  <c:x val="-2.3971317797140158E-2"/>
                  <c:y val="0.17569352767074317"/>
                </c:manualLayout>
              </c:layout>
              <c:showVal val="1"/>
            </c:dLbl>
            <c:dLbl>
              <c:idx val="3"/>
              <c:layout>
                <c:manualLayout>
                  <c:x val="-1.3279571353925995E-2"/>
                  <c:y val="0.220689786117161"/>
                </c:manualLayout>
              </c:layout>
              <c:showVal val="1"/>
            </c:dLbl>
            <c:dLbl>
              <c:idx val="4"/>
              <c:layout>
                <c:manualLayout>
                  <c:x val="-3.1156577234520044E-3"/>
                  <c:y val="0.23599955324733374"/>
                </c:manualLayout>
              </c:layout>
              <c:showVal val="1"/>
            </c:dLbl>
            <c:numFmt formatCode="#,##0.0" sourceLinked="0"/>
            <c:spPr>
              <a:solidFill>
                <a:srgbClr val="FF5050"/>
              </a:solidFill>
            </c:spPr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Bookman Old Style"/>
                    <a:ea typeface="Bookman Old Style"/>
                    <a:cs typeface="Bookman Old Style"/>
                  </a:defRPr>
                </a:pPr>
                <a:endParaRPr lang="ru-RU"/>
              </a:p>
            </c:txPr>
            <c:showVal val="1"/>
          </c:dLbls>
          <c:cat>
            <c:strRef>
              <c:f>'Лист1 (2)'!$A$2:$A$6</c:f>
              <c:strCache>
                <c:ptCount val="5"/>
                <c:pt idx="0">
                  <c:v>Торговля оптовая и розничная; ремонт автотранспортных средств и мотоциклов</c:v>
                </c:pt>
                <c:pt idx="1">
                  <c:v>Строительство</c:v>
                </c:pt>
                <c:pt idx="2">
                  <c:v>Транспортировка и хранение</c:v>
                </c:pt>
                <c:pt idx="3">
                  <c:v>Обрабатывающие производства</c:v>
                </c:pt>
                <c:pt idx="4">
                  <c:v>Деятельность профессиональная, научная и техническая</c:v>
                </c:pt>
              </c:strCache>
            </c:strRef>
          </c:cat>
          <c:val>
            <c:numRef>
              <c:f>'Лист1 (2)'!$B$2:$B$6</c:f>
              <c:numCache>
                <c:formatCode>General</c:formatCode>
                <c:ptCount val="5"/>
                <c:pt idx="0">
                  <c:v>29.4</c:v>
                </c:pt>
                <c:pt idx="1">
                  <c:v>20.9</c:v>
                </c:pt>
                <c:pt idx="2">
                  <c:v>6.3</c:v>
                </c:pt>
                <c:pt idx="3" formatCode="0.0">
                  <c:v>9.5</c:v>
                </c:pt>
                <c:pt idx="4" formatCode="0.0">
                  <c:v>8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'Лист1 (2)'!$C$1</c:f>
              <c:strCache>
                <c:ptCount val="1"/>
                <c:pt idx="0">
                  <c:v>Индивидуальные предприниматели</c:v>
                </c:pt>
              </c:strCache>
            </c:strRef>
          </c:tx>
          <c:spPr>
            <a:gradFill>
              <a:gsLst>
                <a:gs pos="11000">
                  <a:srgbClr val="3333CC"/>
                </a:gs>
                <a:gs pos="43000">
                  <a:srgbClr val="3366FF"/>
                </a:gs>
                <a:gs pos="64000">
                  <a:srgbClr val="0066FF"/>
                </a:gs>
              </a:gsLst>
              <a:lin ang="5400000" scaled="0"/>
            </a:gradFill>
            <a:ln w="9525">
              <a:solidFill>
                <a:srgbClr val="3333FF"/>
              </a:solidFill>
            </a:ln>
            <a:scene3d>
              <a:camera prst="orthographicFront"/>
              <a:lightRig rig="threePt" dir="t"/>
            </a:scene3d>
            <a:sp3d prstMaterial="metal">
              <a:bevelT prst="angle"/>
              <a:contourClr>
                <a:srgbClr val="000000"/>
              </a:contourClr>
            </a:sp3d>
          </c:spPr>
          <c:dLbls>
            <c:dLbl>
              <c:idx val="0"/>
              <c:layout>
                <c:manualLayout>
                  <c:x val="7.9050984509020275E-2"/>
                  <c:y val="0.13584341319037274"/>
                </c:manualLayout>
              </c:layout>
              <c:showVal val="1"/>
            </c:dLbl>
            <c:dLbl>
              <c:idx val="1"/>
              <c:layout>
                <c:manualLayout>
                  <c:x val="8.0957446487198409E-2"/>
                  <c:y val="0.11451879153403695"/>
                </c:manualLayout>
              </c:layout>
              <c:showVal val="1"/>
            </c:dLbl>
            <c:dLbl>
              <c:idx val="2"/>
              <c:layout>
                <c:manualLayout>
                  <c:x val="8.8630791116588045E-2"/>
                  <c:y val="8.7087284302228105E-2"/>
                </c:manualLayout>
              </c:layout>
              <c:showVal val="1"/>
            </c:dLbl>
            <c:dLbl>
              <c:idx val="3"/>
              <c:layout>
                <c:manualLayout>
                  <c:x val="8.3131967537429657E-2"/>
                  <c:y val="6.2781035349304792E-2"/>
                </c:manualLayout>
              </c:layout>
              <c:showVal val="1"/>
            </c:dLbl>
            <c:dLbl>
              <c:idx val="4"/>
              <c:layout>
                <c:manualLayout>
                  <c:x val="7.8113981437015492E-2"/>
                  <c:y val="4.7628971910426136E-2"/>
                </c:manualLayout>
              </c:layout>
              <c:showVal val="1"/>
            </c:dLbl>
            <c:numFmt formatCode="#,##0.0" sourceLinked="0"/>
            <c:spPr>
              <a:solidFill>
                <a:srgbClr val="0066FF"/>
              </a:solidFill>
            </c:spPr>
            <c:txPr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Bookman Old Style"/>
                    <a:ea typeface="Bookman Old Style"/>
                    <a:cs typeface="Bookman Old Style"/>
                  </a:defRPr>
                </a:pPr>
                <a:endParaRPr lang="ru-RU"/>
              </a:p>
            </c:txPr>
            <c:showVal val="1"/>
          </c:dLbls>
          <c:cat>
            <c:strRef>
              <c:f>'Лист1 (2)'!$A$2:$A$6</c:f>
              <c:strCache>
                <c:ptCount val="5"/>
                <c:pt idx="0">
                  <c:v>Торговля оптовая и розничная; ремонт автотранспортных средств и мотоциклов</c:v>
                </c:pt>
                <c:pt idx="1">
                  <c:v>Строительство</c:v>
                </c:pt>
                <c:pt idx="2">
                  <c:v>Транспортировка и хранение</c:v>
                </c:pt>
                <c:pt idx="3">
                  <c:v>Обрабатывающие производства</c:v>
                </c:pt>
                <c:pt idx="4">
                  <c:v>Деятельность профессиональная, научная и техническая</c:v>
                </c:pt>
              </c:strCache>
            </c:strRef>
          </c:cat>
          <c:val>
            <c:numRef>
              <c:f>'Лист1 (2)'!$C$2:$C$6</c:f>
              <c:numCache>
                <c:formatCode>General</c:formatCode>
                <c:ptCount val="5"/>
                <c:pt idx="0">
                  <c:v>29.3</c:v>
                </c:pt>
                <c:pt idx="1">
                  <c:v>14.6</c:v>
                </c:pt>
                <c:pt idx="2">
                  <c:v>10.200000000000001</c:v>
                </c:pt>
                <c:pt idx="3">
                  <c:v>7.2</c:v>
                </c:pt>
                <c:pt idx="4">
                  <c:v>7</c:v>
                </c:pt>
              </c:numCache>
            </c:numRef>
          </c:val>
          <c:shape val="pyramid"/>
        </c:ser>
        <c:gapWidth val="0"/>
        <c:gapDepth val="48"/>
        <c:shape val="box"/>
        <c:axId val="265041024"/>
        <c:axId val="265042560"/>
        <c:axId val="264973376"/>
      </c:bar3DChart>
      <c:catAx>
        <c:axId val="265041024"/>
        <c:scaling>
          <c:orientation val="minMax"/>
        </c:scaling>
        <c:delete val="1"/>
        <c:axPos val="b"/>
        <c:tickLblPos val="nextTo"/>
        <c:crossAx val="265042560"/>
        <c:crosses val="autoZero"/>
        <c:auto val="1"/>
        <c:lblAlgn val="ctr"/>
        <c:lblOffset val="100"/>
      </c:catAx>
      <c:valAx>
        <c:axId val="265042560"/>
        <c:scaling>
          <c:orientation val="minMax"/>
        </c:scaling>
        <c:delete val="1"/>
        <c:axPos val="r"/>
        <c:numFmt formatCode="General" sourceLinked="1"/>
        <c:tickLblPos val="nextTo"/>
        <c:crossAx val="265041024"/>
        <c:crosses val="max"/>
        <c:crossBetween val="between"/>
      </c:valAx>
      <c:serAx>
        <c:axId val="264973376"/>
        <c:scaling>
          <c:orientation val="minMax"/>
        </c:scaling>
        <c:delete val="1"/>
        <c:axPos val="b"/>
        <c:tickLblPos val="nextTo"/>
        <c:crossAx val="265042560"/>
        <c:crosses val="autoZero"/>
      </c:serAx>
      <c:spPr>
        <a:noFill/>
        <a:ln w="25400">
          <a:noFill/>
        </a:ln>
      </c:spPr>
    </c:plotArea>
    <c:plotVisOnly val="1"/>
    <c:dispBlanksAs val="gap"/>
  </c:chart>
  <c:spPr>
    <a:noFill/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jpeg"/><Relationship Id="rId5" Type="http://schemas.openxmlformats.org/officeDocument/2006/relationships/image" Target="../media/image5.jpeg"/><Relationship Id="rId4" Type="http://schemas.openxmlformats.org/officeDocument/2006/relationships/image" Target="../media/image4.jpe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0.2498</cdr:x>
      <cdr:y>0.85098</cdr:y>
    </cdr:from>
    <cdr:to>
      <cdr:x>0.32229</cdr:x>
      <cdr:y>0.99791</cdr:y>
    </cdr:to>
    <cdr:pic>
      <cdr:nvPicPr>
        <cdr:cNvPr id="40" name="Рисунок 39" descr="dreamstime_xs_34508406-e1410462523985.jpg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2067615" y="3809615"/>
          <a:ext cx="600016" cy="657769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0.67111</cdr:x>
      <cdr:y>0.18327</cdr:y>
    </cdr:from>
    <cdr:to>
      <cdr:x>0.99425</cdr:x>
      <cdr:y>0.37234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5554962" y="820447"/>
          <a:ext cx="2674638" cy="84642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pPr algn="l"/>
          <a:r>
            <a:rPr lang="ru-RU" sz="1200">
              <a:latin typeface="Bookman Old Style" pitchFamily="18" charset="0"/>
            </a:rPr>
            <a:t>Торговля оптовая и розничная;</a:t>
          </a:r>
          <a:r>
            <a:rPr lang="ru-RU" sz="1200" baseline="0">
              <a:latin typeface="Bookman Old Style" pitchFamily="18" charset="0"/>
            </a:rPr>
            <a:t> ремонт автотранспортных средств и мотоциклов</a:t>
          </a:r>
          <a:endParaRPr lang="ru-RU" sz="1200">
            <a:latin typeface="Bookman Old Style" pitchFamily="18" charset="0"/>
          </a:endParaRPr>
        </a:p>
      </cdr:txBody>
    </cdr:sp>
  </cdr:relSizeAnchor>
  <cdr:relSizeAnchor xmlns:cdr="http://schemas.openxmlformats.org/drawingml/2006/chartDrawing">
    <cdr:from>
      <cdr:x>0.67337</cdr:x>
      <cdr:y>0.39249</cdr:y>
    </cdr:from>
    <cdr:to>
      <cdr:x>0.92154</cdr:x>
      <cdr:y>0.47646</cdr:y>
    </cdr:to>
    <cdr:sp macro="" textlink="">
      <cdr:nvSpPr>
        <cdr:cNvPr id="8" name="TextBox 1"/>
        <cdr:cNvSpPr txBox="1"/>
      </cdr:nvSpPr>
      <cdr:spPr>
        <a:xfrm xmlns:a="http://schemas.openxmlformats.org/drawingml/2006/main">
          <a:off x="5573656" y="1757074"/>
          <a:ext cx="2054159" cy="37591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algn="l"/>
          <a:r>
            <a:rPr lang="ru-RU" sz="1200">
              <a:latin typeface="Bookman Old Style" pitchFamily="18" charset="0"/>
            </a:rPr>
            <a:t>Строительство</a:t>
          </a:r>
        </a:p>
      </cdr:txBody>
    </cdr:sp>
  </cdr:relSizeAnchor>
  <cdr:relSizeAnchor xmlns:cdr="http://schemas.openxmlformats.org/drawingml/2006/chartDrawing">
    <cdr:from>
      <cdr:x>0.67153</cdr:x>
      <cdr:y>0.51866</cdr:y>
    </cdr:from>
    <cdr:to>
      <cdr:x>0.99145</cdr:x>
      <cdr:y>0.61535</cdr:y>
    </cdr:to>
    <cdr:sp macro="" textlink="">
      <cdr:nvSpPr>
        <cdr:cNvPr id="13" name="TextBox 1"/>
        <cdr:cNvSpPr txBox="1"/>
      </cdr:nvSpPr>
      <cdr:spPr>
        <a:xfrm xmlns:a="http://schemas.openxmlformats.org/drawingml/2006/main">
          <a:off x="5564505" y="2457557"/>
          <a:ext cx="2646045" cy="43285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ru-RU" sz="1200">
              <a:latin typeface="Bookman Old Style" pitchFamily="18" charset="0"/>
            </a:rPr>
            <a:t>Транспортировка и хранение</a:t>
          </a:r>
        </a:p>
      </cdr:txBody>
    </cdr:sp>
  </cdr:relSizeAnchor>
  <cdr:relSizeAnchor xmlns:cdr="http://schemas.openxmlformats.org/drawingml/2006/chartDrawing">
    <cdr:from>
      <cdr:x>0.6678</cdr:x>
      <cdr:y>0.68964</cdr:y>
    </cdr:from>
    <cdr:to>
      <cdr:x>0.99302</cdr:x>
      <cdr:y>0.78776</cdr:y>
    </cdr:to>
    <cdr:sp macro="" textlink="">
      <cdr:nvSpPr>
        <cdr:cNvPr id="73733" name="Text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537057" y="3097074"/>
          <a:ext cx="2695004" cy="44020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91440" tIns="45720" rIns="91440" bIns="45720" anchor="t" upright="1"/>
        <a:lstStyle xmlns:a="http://schemas.openxmlformats.org/drawingml/2006/main"/>
        <a:p xmlns:a="http://schemas.openxmlformats.org/drawingml/2006/main">
          <a:pPr algn="l" rtl="1">
            <a:defRPr sz="1000"/>
          </a:pPr>
          <a:r>
            <a:rPr lang="ru-RU" sz="1200" b="0" i="0" strike="noStrike">
              <a:solidFill>
                <a:srgbClr val="000000"/>
              </a:solidFill>
              <a:latin typeface="Bookman Old Style"/>
            </a:rPr>
            <a:t>Обрабатывающие производства</a:t>
          </a:r>
        </a:p>
      </cdr:txBody>
    </cdr:sp>
  </cdr:relSizeAnchor>
  <cdr:relSizeAnchor xmlns:cdr="http://schemas.openxmlformats.org/drawingml/2006/chartDrawing">
    <cdr:from>
      <cdr:x>0.68139</cdr:x>
      <cdr:y>0.82397</cdr:y>
    </cdr:from>
    <cdr:to>
      <cdr:x>0.97597</cdr:x>
      <cdr:y>0.98718</cdr:y>
    </cdr:to>
    <cdr:sp macro="" textlink="">
      <cdr:nvSpPr>
        <cdr:cNvPr id="73734" name="Text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649690" y="3699742"/>
          <a:ext cx="2441067" cy="73220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91440" tIns="45720" rIns="91440" bIns="45720" anchor="t" upright="1"/>
        <a:lstStyle xmlns:a="http://schemas.openxmlformats.org/drawingml/2006/main"/>
        <a:p xmlns:a="http://schemas.openxmlformats.org/drawingml/2006/main">
          <a:pPr algn="l" rtl="1">
            <a:defRPr sz="1000"/>
          </a:pPr>
          <a:r>
            <a:rPr lang="ru-RU" sz="1200" b="0" i="0" strike="noStrike">
              <a:solidFill>
                <a:srgbClr val="000000"/>
              </a:solidFill>
              <a:latin typeface="Bookman Old Style"/>
            </a:rPr>
            <a:t>Деятельность профессиональная, научная и техническая</a:t>
          </a:r>
        </a:p>
      </cdr:txBody>
    </cdr:sp>
  </cdr:relSizeAnchor>
  <cdr:relSizeAnchor xmlns:cdr="http://schemas.openxmlformats.org/drawingml/2006/chartDrawing">
    <cdr:from>
      <cdr:x>0.00353</cdr:x>
      <cdr:y>0.11675</cdr:y>
    </cdr:from>
    <cdr:to>
      <cdr:x>0.1864</cdr:x>
      <cdr:y>0.24008</cdr:y>
    </cdr:to>
    <cdr:sp macro="" textlink="">
      <cdr:nvSpPr>
        <cdr:cNvPr id="73735" name="Text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300" y="523614"/>
          <a:ext cx="1517887" cy="5531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91440" tIns="45720" rIns="91440" bIns="45720" anchor="t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1200" b="0" i="0" strike="noStrike">
              <a:solidFill>
                <a:srgbClr val="000000"/>
              </a:solidFill>
              <a:latin typeface="Bookman Old Style"/>
            </a:rPr>
            <a:t>Предприятия </a:t>
          </a:r>
        </a:p>
        <a:p xmlns:a="http://schemas.openxmlformats.org/drawingml/2006/main">
          <a:pPr algn="ctr" rtl="1">
            <a:defRPr sz="1000"/>
          </a:pPr>
          <a:r>
            <a:rPr lang="ru-RU" sz="1200" b="0" i="0" strike="noStrike">
              <a:solidFill>
                <a:srgbClr val="000000"/>
              </a:solidFill>
              <a:latin typeface="Bookman Old Style"/>
            </a:rPr>
            <a:t>и организации</a:t>
          </a:r>
        </a:p>
      </cdr:txBody>
    </cdr:sp>
  </cdr:relSizeAnchor>
  <cdr:relSizeAnchor xmlns:cdr="http://schemas.openxmlformats.org/drawingml/2006/chartDrawing">
    <cdr:from>
      <cdr:x>0.17412</cdr:x>
      <cdr:y>0.11487</cdr:y>
    </cdr:from>
    <cdr:to>
      <cdr:x>0.36629</cdr:x>
      <cdr:y>0.22683</cdr:y>
    </cdr:to>
    <cdr:sp macro="" textlink="">
      <cdr:nvSpPr>
        <cdr:cNvPr id="21" name="TextBox 1"/>
        <cdr:cNvSpPr txBox="1"/>
      </cdr:nvSpPr>
      <cdr:spPr>
        <a:xfrm xmlns:a="http://schemas.openxmlformats.org/drawingml/2006/main">
          <a:off x="1445259" y="515182"/>
          <a:ext cx="1595079" cy="50213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algn="ctr"/>
          <a:r>
            <a:rPr lang="ru-RU" sz="1200">
              <a:latin typeface="Bookman Old Style" pitchFamily="18" charset="0"/>
            </a:rPr>
            <a:t>Индивидуальные предприниматели</a:t>
          </a:r>
        </a:p>
      </cdr:txBody>
    </cdr:sp>
  </cdr:relSizeAnchor>
  <cdr:relSizeAnchor xmlns:cdr="http://schemas.openxmlformats.org/drawingml/2006/chartDrawing">
    <cdr:from>
      <cdr:x>0.04242</cdr:x>
      <cdr:y>0</cdr:y>
    </cdr:from>
    <cdr:to>
      <cdr:x>0.9798</cdr:x>
      <cdr:y>0.16092</cdr:y>
    </cdr:to>
    <cdr:sp macro="" textlink="">
      <cdr:nvSpPr>
        <cdr:cNvPr id="22" name="TextBox 1"/>
        <cdr:cNvSpPr txBox="1"/>
      </cdr:nvSpPr>
      <cdr:spPr>
        <a:xfrm xmlns:a="http://schemas.openxmlformats.org/drawingml/2006/main">
          <a:off x="362309" y="0"/>
          <a:ext cx="8005314" cy="91618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algn="ctr"/>
          <a:r>
            <a:rPr lang="ru-RU" sz="1400" b="1">
              <a:latin typeface="Bookman Old Style" pitchFamily="18" charset="0"/>
            </a:rPr>
            <a:t>Распределение </a:t>
          </a:r>
          <a:r>
            <a:rPr lang="ru-RU" sz="1400" b="1">
              <a:latin typeface="Bookman Old Style" pitchFamily="18" charset="0"/>
              <a:ea typeface="+mn-ea"/>
              <a:cs typeface="+mn-cs"/>
            </a:rPr>
            <a:t>хозяйствующих субъектов, </a:t>
          </a:r>
        </a:p>
        <a:p xmlns:a="http://schemas.openxmlformats.org/drawingml/2006/main">
          <a:pPr algn="ctr"/>
          <a:r>
            <a:rPr lang="ru-RU" sz="1400" b="1">
              <a:latin typeface="Bookman Old Style" pitchFamily="18" charset="0"/>
              <a:ea typeface="+mn-ea"/>
              <a:cs typeface="+mn-cs"/>
            </a:rPr>
            <a:t>зарегистрированных в 201</a:t>
          </a:r>
          <a:r>
            <a:rPr lang="en-US" sz="1400" b="1">
              <a:latin typeface="Bookman Old Style" pitchFamily="18" charset="0"/>
              <a:ea typeface="+mn-ea"/>
              <a:cs typeface="+mn-cs"/>
            </a:rPr>
            <a:t>9</a:t>
          </a:r>
          <a:r>
            <a:rPr lang="ru-RU" sz="1400" b="1">
              <a:latin typeface="Bookman Old Style" pitchFamily="18" charset="0"/>
              <a:ea typeface="+mn-ea"/>
              <a:cs typeface="+mn-cs"/>
            </a:rPr>
            <a:t> году</a:t>
          </a:r>
          <a:r>
            <a:rPr lang="en-US" sz="1400" b="1">
              <a:latin typeface="Bookman Old Style" pitchFamily="18" charset="0"/>
              <a:ea typeface="+mn-ea"/>
              <a:cs typeface="+mn-cs"/>
            </a:rPr>
            <a:t>,</a:t>
          </a:r>
          <a:r>
            <a:rPr lang="ru-RU" sz="1400" b="1">
              <a:latin typeface="Bookman Old Style" pitchFamily="18" charset="0"/>
            </a:rPr>
            <a:t> по видам экономической деятельности </a:t>
          </a:r>
          <a:br>
            <a:rPr lang="ru-RU" sz="1400" b="1">
              <a:latin typeface="Bookman Old Style" pitchFamily="18" charset="0"/>
            </a:rPr>
          </a:br>
          <a:r>
            <a:rPr lang="ru-RU" sz="1400" b="1">
              <a:latin typeface="Bookman Old Style" pitchFamily="18" charset="0"/>
            </a:rPr>
            <a:t>(процентов)</a:t>
          </a:r>
        </a:p>
      </cdr:txBody>
    </cdr:sp>
  </cdr:relSizeAnchor>
  <cdr:relSizeAnchor xmlns:cdr="http://schemas.openxmlformats.org/drawingml/2006/chartDrawing">
    <cdr:from>
      <cdr:x>0.07195</cdr:x>
      <cdr:y>0.62482</cdr:y>
    </cdr:from>
    <cdr:to>
      <cdr:x>0.13471</cdr:x>
      <cdr:y>0.74573</cdr:y>
    </cdr:to>
    <cdr:pic>
      <cdr:nvPicPr>
        <cdr:cNvPr id="24" name="Рисунок 23" descr="pT5xeBbnc.png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2"/>
        <a:stretch xmlns:a="http://schemas.openxmlformats.org/drawingml/2006/main">
          <a:fillRect/>
        </a:stretch>
      </cdr:blipFill>
      <cdr:spPr>
        <a:xfrm xmlns:a="http://schemas.openxmlformats.org/drawingml/2006/main">
          <a:off x="598857" y="2797156"/>
          <a:ext cx="522382" cy="54128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0.59379</cdr:x>
      <cdr:y>0.37029</cdr:y>
    </cdr:from>
    <cdr:to>
      <cdr:x>0.66628</cdr:x>
      <cdr:y>0.50998</cdr:y>
    </cdr:to>
    <cdr:pic>
      <cdr:nvPicPr>
        <cdr:cNvPr id="25" name="Рисунок 24" descr="pT5xeBbnc.png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2"/>
        <a:stretch xmlns:a="http://schemas.openxmlformats.org/drawingml/2006/main">
          <a:fillRect/>
        </a:stretch>
      </cdr:blipFill>
      <cdr:spPr>
        <a:xfrm xmlns:a="http://schemas.openxmlformats.org/drawingml/2006/main">
          <a:off x="4914900" y="1590675"/>
          <a:ext cx="600074" cy="600074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0.02017</cdr:x>
      <cdr:y>0.49671</cdr:y>
    </cdr:from>
    <cdr:to>
      <cdr:x>0.08439</cdr:x>
      <cdr:y>0.64732</cdr:y>
    </cdr:to>
    <cdr:pic>
      <cdr:nvPicPr>
        <cdr:cNvPr id="26" name="Рисунок 25" descr="img_51f96e6c_80778.png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3"/>
        <a:stretch xmlns:a="http://schemas.openxmlformats.org/drawingml/2006/main">
          <a:fillRect/>
        </a:stretch>
      </cdr:blipFill>
      <cdr:spPr>
        <a:xfrm xmlns:a="http://schemas.openxmlformats.org/drawingml/2006/main">
          <a:off x="167918" y="2223641"/>
          <a:ext cx="534534" cy="674243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0.60069</cdr:x>
      <cdr:y>0.19053</cdr:y>
    </cdr:from>
    <cdr:to>
      <cdr:x>0.66453</cdr:x>
      <cdr:y>0.36364</cdr:y>
    </cdr:to>
    <cdr:pic>
      <cdr:nvPicPr>
        <cdr:cNvPr id="27" name="Рисунок 26" descr="img_51f96e6c_80778.png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3"/>
        <a:stretch xmlns:a="http://schemas.openxmlformats.org/drawingml/2006/main">
          <a:fillRect/>
        </a:stretch>
      </cdr:blipFill>
      <cdr:spPr>
        <a:xfrm xmlns:a="http://schemas.openxmlformats.org/drawingml/2006/main">
          <a:off x="4972051" y="818461"/>
          <a:ext cx="528440" cy="743639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0.59379</cdr:x>
      <cdr:y>0.54102</cdr:y>
    </cdr:from>
    <cdr:to>
      <cdr:x>0.68315</cdr:x>
      <cdr:y>0.61936</cdr:y>
    </cdr:to>
    <cdr:pic>
      <cdr:nvPicPr>
        <cdr:cNvPr id="30" name="Рисунок 29" descr="avtomobilnye-perevozki-nefteproduktov.jpg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4"/>
        <a:stretch xmlns:a="http://schemas.openxmlformats.org/drawingml/2006/main">
          <a:fillRect/>
        </a:stretch>
      </cdr:blipFill>
      <cdr:spPr>
        <a:xfrm xmlns:a="http://schemas.openxmlformats.org/drawingml/2006/main">
          <a:off x="4914900" y="2324100"/>
          <a:ext cx="739668" cy="336549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0.60875</cdr:x>
      <cdr:y>0.66297</cdr:y>
    </cdr:from>
    <cdr:to>
      <cdr:x>0.67814</cdr:x>
      <cdr:y>0.81828</cdr:y>
    </cdr:to>
    <cdr:pic>
      <cdr:nvPicPr>
        <cdr:cNvPr id="34" name="Рисунок 33" descr="doska_obreznaya_opt_89662406698.jpg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5"/>
        <a:stretch xmlns:a="http://schemas.openxmlformats.org/drawingml/2006/main">
          <a:fillRect/>
        </a:stretch>
      </cdr:blipFill>
      <cdr:spPr>
        <a:xfrm xmlns:a="http://schemas.openxmlformats.org/drawingml/2006/main">
          <a:off x="5038725" y="2847975"/>
          <a:ext cx="574402" cy="667190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0.609</cdr:x>
      <cdr:y>0.82774</cdr:y>
    </cdr:from>
    <cdr:to>
      <cdr:x>0.68725</cdr:x>
      <cdr:y>0.97785</cdr:y>
    </cdr:to>
    <cdr:pic>
      <cdr:nvPicPr>
        <cdr:cNvPr id="39" name="Рисунок 38" descr="dreamstime_xs_34508406-e1410462523985.jpg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4981576" y="3728562"/>
          <a:ext cx="647700" cy="671988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0.18098</cdr:x>
      <cdr:y>0.78399</cdr:y>
    </cdr:from>
    <cdr:to>
      <cdr:x>0.24263</cdr:x>
      <cdr:y>0.92196</cdr:y>
    </cdr:to>
    <cdr:pic>
      <cdr:nvPicPr>
        <cdr:cNvPr id="33" name="Рисунок 32" descr="doska_obreznaya_opt_89662406698.jpg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5"/>
        <a:stretch xmlns:a="http://schemas.openxmlformats.org/drawingml/2006/main">
          <a:fillRect/>
        </a:stretch>
      </cdr:blipFill>
      <cdr:spPr>
        <a:xfrm xmlns:a="http://schemas.openxmlformats.org/drawingml/2006/main">
          <a:off x="1497986" y="3509719"/>
          <a:ext cx="510291" cy="617657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0.09967</cdr:x>
      <cdr:y>0.744</cdr:y>
    </cdr:from>
    <cdr:to>
      <cdr:x>0.18904</cdr:x>
      <cdr:y>0.82234</cdr:y>
    </cdr:to>
    <cdr:pic>
      <cdr:nvPicPr>
        <cdr:cNvPr id="35" name="Рисунок 34" descr="avtomobilnye-perevozki-nefteproduktov.jpg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4"/>
        <a:stretch xmlns:a="http://schemas.openxmlformats.org/drawingml/2006/main">
          <a:fillRect/>
        </a:stretch>
      </cdr:blipFill>
      <cdr:spPr>
        <a:xfrm xmlns:a="http://schemas.openxmlformats.org/drawingml/2006/main">
          <a:off x="825015" y="3330695"/>
          <a:ext cx="739735" cy="350708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D887A-AA21-4868-942F-36196F707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1</cp:revision>
  <cp:lastPrinted>2020-03-26T07:34:00Z</cp:lastPrinted>
  <dcterms:created xsi:type="dcterms:W3CDTF">2020-03-26T07:30:00Z</dcterms:created>
  <dcterms:modified xsi:type="dcterms:W3CDTF">2020-03-26T07:41:00Z</dcterms:modified>
</cp:coreProperties>
</file>